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sectPr>
          <w:headerReference r:id="rId4" w:type="default"/>
          <w:footerReference r:id="rId5" w:type="default"/>
          <w:pgSz w:w="11906" w:h="16838"/>
          <w:pgMar w:top="0" w:right="0" w:bottom="0" w:left="0" w:header="851" w:footer="992" w:gutter="0"/>
          <w:pgNumType w:fmt="upperRoman"/>
          <w:cols w:space="425" w:num="1"/>
          <w:docGrid w:type="lines" w:linePitch="312" w:charSpace="0"/>
        </w:sectPr>
      </w:pPr>
      <w:r>
        <mc:AlternateContent>
          <mc:Choice Requires="wps">
            <w:drawing>
              <wp:anchor distT="0" distB="0" distL="114300" distR="114300" simplePos="0" relativeHeight="251645952" behindDoc="0" locked="0" layoutInCell="1" allowOverlap="1">
                <wp:simplePos x="0" y="0"/>
                <wp:positionH relativeFrom="column">
                  <wp:posOffset>2302510</wp:posOffset>
                </wp:positionH>
                <wp:positionV relativeFrom="paragraph">
                  <wp:posOffset>8111490</wp:posOffset>
                </wp:positionV>
                <wp:extent cx="3093720" cy="38862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3093720" cy="3886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黑体" w:hAnsi="黑体" w:eastAsia="黑体" w:cs="黑体"/>
                                <w:sz w:val="28"/>
                                <w:szCs w:val="32"/>
                              </w:rPr>
                            </w:pPr>
                            <w:r>
                              <w:rPr>
                                <w:rFonts w:hint="eastAsia" w:ascii="黑体" w:hAnsi="黑体" w:eastAsia="黑体" w:cs="黑体"/>
                                <w:sz w:val="28"/>
                                <w:szCs w:val="32"/>
                              </w:rPr>
                              <w:t>河北传媒学院就业指导中心  编</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1.3pt;margin-top:638.7pt;height:30.6pt;width:243.6pt;z-index:251645952;mso-width-relative:page;mso-height-relative:page;" fillcolor="#FFFFFF [3201]" filled="t" stroked="f" coordsize="21600,21600" o:gfxdata="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KffbLXAAAADQEAAA8AAAAAAAAAAQAgAAAAIgAAAGRycy9kb3ducmV2Lnht&#10;bFBLAQIUABQAAAAIAIdO4kD7qsDTMwIAAEMEAAAOAAAAAAAAAAEAIAAAACYBAABkcnMvZTJvRG9j&#10;LnhtbFBLBQYAAAAABgAGAFkBAADLBQAAAAA=&#10;">
                <v:fill on="t" focussize="0,0"/>
                <v:stroke on="f" weight="0.5pt"/>
                <v:imagedata o:title=""/>
                <o:lock v:ext="edit" aspectratio="f"/>
                <v:textbox>
                  <w:txbxContent>
                    <w:p>
                      <w:pPr>
                        <w:jc w:val="center"/>
                        <w:rPr>
                          <w:rFonts w:ascii="黑体" w:hAnsi="黑体" w:eastAsia="黑体" w:cs="黑体"/>
                          <w:sz w:val="28"/>
                          <w:szCs w:val="32"/>
                        </w:rPr>
                      </w:pPr>
                      <w:r>
                        <w:rPr>
                          <w:rFonts w:hint="eastAsia" w:ascii="黑体" w:hAnsi="黑体" w:eastAsia="黑体" w:cs="黑体"/>
                          <w:sz w:val="28"/>
                          <w:szCs w:val="32"/>
                        </w:rPr>
                        <w:t>河北传媒学院就业指导中心  编</w:t>
                      </w:r>
                    </w:p>
                    <w:p/>
                  </w:txbxContent>
                </v:textbox>
              </v:shape>
            </w:pict>
          </mc:Fallback>
        </mc:AlternateContent>
      </w:r>
      <w:r>
        <w:rPr>
          <w:rFonts w:hint="eastAsia"/>
        </w:rPr>
        <mc:AlternateContent>
          <mc:Choice Requires="wps">
            <w:drawing>
              <wp:anchor distT="0" distB="0" distL="114300" distR="114300" simplePos="0" relativeHeight="251688960" behindDoc="0" locked="0" layoutInCell="1" allowOverlap="1">
                <wp:simplePos x="0" y="0"/>
                <wp:positionH relativeFrom="column">
                  <wp:posOffset>2628900</wp:posOffset>
                </wp:positionH>
                <wp:positionV relativeFrom="paragraph">
                  <wp:posOffset>8657590</wp:posOffset>
                </wp:positionV>
                <wp:extent cx="2314575" cy="742950"/>
                <wp:effectExtent l="0" t="0" r="9525" b="0"/>
                <wp:wrapNone/>
                <wp:docPr id="268" name="文本框 268"/>
                <wp:cNvGraphicFramePr/>
                <a:graphic xmlns:a="http://schemas.openxmlformats.org/drawingml/2006/main">
                  <a:graphicData uri="http://schemas.microsoft.com/office/word/2010/wordprocessingShape">
                    <wps:wsp>
                      <wps:cNvSpPr txBox="1"/>
                      <wps:spPr>
                        <a:xfrm>
                          <a:off x="0" y="0"/>
                          <a:ext cx="2314575"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黑体" w:hAnsi="黑体" w:eastAsia="黑体"/>
                                <w:sz w:val="28"/>
                                <w:szCs w:val="28"/>
                              </w:rPr>
                            </w:pPr>
                            <w:r>
                              <w:rPr>
                                <w:rFonts w:hint="eastAsia" w:ascii="黑体" w:hAnsi="黑体" w:eastAsia="黑体"/>
                                <w:sz w:val="28"/>
                                <w:szCs w:val="28"/>
                              </w:rPr>
                              <w:t>2017年12月</w:t>
                            </w:r>
                          </w:p>
                        </w:txbxContent>
                      </wps:txbx>
                      <wps:bodyPr rot="0" spcFirstLastPara="0" vertOverflow="overflow" horzOverflow="overflow" vert="horz" wrap="square" lIns="91440" tIns="0" rIns="9144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7pt;margin-top:681.7pt;height:58.5pt;width:182.25pt;z-index:251688960;mso-width-relative:page;mso-height-relative:page;" fillcolor="#FFFFFF [3201]" filled="t" stroked="f" coordsize="21600,21600" o:gfxdata="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B3YdX2wAAAA0BAAAPAAAAAAAAAAEAIAAAACIAAABkcnMv&#10;ZG93bnJldi54bWxQSwECFAAUAAAACACHTuJAyZnhyDkCAABLBAAADgAAAAAAAAABACAAAAAqAQAA&#10;ZHJzL2Uyb0RvYy54bWxQSwUGAAAAAAYABgBZAQAA1QUAAAAA&#10;">
                <v:fill on="t" focussize="0,0"/>
                <v:stroke on="f" weight="0.5pt"/>
                <v:imagedata o:title=""/>
                <o:lock v:ext="edit" aspectratio="f"/>
                <v:textbox inset="2.54mm,0mm,2.54mm,0mm">
                  <w:txbxContent>
                    <w:p>
                      <w:pPr>
                        <w:jc w:val="center"/>
                        <w:rPr>
                          <w:rFonts w:ascii="黑体" w:hAnsi="黑体" w:eastAsia="黑体"/>
                          <w:sz w:val="28"/>
                          <w:szCs w:val="28"/>
                        </w:rPr>
                      </w:pPr>
                      <w:r>
                        <w:rPr>
                          <w:rFonts w:hint="eastAsia" w:ascii="黑体" w:hAnsi="黑体" w:eastAsia="黑体"/>
                          <w:sz w:val="28"/>
                          <w:szCs w:val="28"/>
                        </w:rPr>
                        <w:t>2017年12月</w:t>
                      </w:r>
                    </w:p>
                  </w:txbxContent>
                </v:textbox>
              </v:shape>
            </w:pict>
          </mc:Fallback>
        </mc:AlternateContent>
      </w:r>
      <w:r>
        <mc:AlternateContent>
          <mc:Choice Requires="wps">
            <w:drawing>
              <wp:anchor distT="0" distB="0" distL="114300" distR="114300" simplePos="0" relativeHeight="251643904" behindDoc="0" locked="0" layoutInCell="1" allowOverlap="1">
                <wp:simplePos x="0" y="0"/>
                <wp:positionH relativeFrom="column">
                  <wp:posOffset>248920</wp:posOffset>
                </wp:positionH>
                <wp:positionV relativeFrom="paragraph">
                  <wp:posOffset>3428365</wp:posOffset>
                </wp:positionV>
                <wp:extent cx="7146925" cy="238506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7146925" cy="23850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楷体" w:hAnsi="楷体" w:eastAsia="楷体" w:cs="楷体"/>
                                <w:b/>
                                <w:bCs/>
                                <w:sz w:val="72"/>
                                <w:szCs w:val="96"/>
                              </w:rPr>
                            </w:pPr>
                            <w:r>
                              <w:rPr>
                                <w:rFonts w:hint="eastAsia" w:ascii="楷体" w:hAnsi="楷体" w:eastAsia="楷体" w:cs="楷体"/>
                                <w:b/>
                                <w:bCs/>
                                <w:sz w:val="72"/>
                                <w:szCs w:val="96"/>
                              </w:rPr>
                              <w:t>河北传媒学院</w:t>
                            </w:r>
                          </w:p>
                          <w:p>
                            <w:pPr>
                              <w:jc w:val="center"/>
                              <w:rPr>
                                <w:rFonts w:ascii="楷体" w:hAnsi="楷体" w:eastAsia="楷体" w:cs="楷体"/>
                                <w:b/>
                                <w:bCs/>
                                <w:sz w:val="72"/>
                                <w:szCs w:val="96"/>
                              </w:rPr>
                            </w:pPr>
                            <w:r>
                              <w:rPr>
                                <w:rFonts w:hint="eastAsia" w:ascii="楷体" w:hAnsi="楷体" w:eastAsia="楷体" w:cs="楷体"/>
                                <w:b/>
                                <w:bCs/>
                                <w:sz w:val="72"/>
                                <w:szCs w:val="96"/>
                              </w:rPr>
                              <w:t>2017届毕业生就业质量年度报告</w:t>
                            </w:r>
                          </w:p>
                          <w:p>
                            <w:pPr>
                              <w:jc w:val="cente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6pt;margin-top:269.95pt;height:187.8pt;width:562.75pt;z-index:251643904;mso-width-relative:page;mso-height-relative:page;" filled="f" stroked="f" coordsize="21600,21600" o:gfxdata="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wACPDcAAAACwEAAA8AAAAAAAAAAQAgAAAAIgAAAGRycy9kb3ducmV2LnhtbFBLAQIUABQAAAAI&#10;AIdO4kCl+fyzIgIAABsEAAAOAAAAAAAAAAEAIAAAACsBAABkcnMvZTJvRG9jLnhtbFBLBQYAAAAA&#10;BgAGAFkBAAC/BQAAAAA=&#10;">
                <v:fill on="f" focussize="0,0"/>
                <v:stroke on="f" weight="0.5pt"/>
                <v:imagedata o:title=""/>
                <o:lock v:ext="edit" aspectratio="f"/>
                <v:textbox>
                  <w:txbxContent>
                    <w:p>
                      <w:pPr>
                        <w:jc w:val="center"/>
                        <w:rPr>
                          <w:rFonts w:ascii="楷体" w:hAnsi="楷体" w:eastAsia="楷体" w:cs="楷体"/>
                          <w:b/>
                          <w:bCs/>
                          <w:sz w:val="72"/>
                          <w:szCs w:val="96"/>
                        </w:rPr>
                      </w:pPr>
                      <w:r>
                        <w:rPr>
                          <w:rFonts w:hint="eastAsia" w:ascii="楷体" w:hAnsi="楷体" w:eastAsia="楷体" w:cs="楷体"/>
                          <w:b/>
                          <w:bCs/>
                          <w:sz w:val="72"/>
                          <w:szCs w:val="96"/>
                        </w:rPr>
                        <w:t>河北传媒学院</w:t>
                      </w:r>
                    </w:p>
                    <w:p>
                      <w:pPr>
                        <w:jc w:val="center"/>
                        <w:rPr>
                          <w:rFonts w:ascii="楷体" w:hAnsi="楷体" w:eastAsia="楷体" w:cs="楷体"/>
                          <w:b/>
                          <w:bCs/>
                          <w:sz w:val="72"/>
                          <w:szCs w:val="96"/>
                        </w:rPr>
                      </w:pPr>
                      <w:r>
                        <w:rPr>
                          <w:rFonts w:hint="eastAsia" w:ascii="楷体" w:hAnsi="楷体" w:eastAsia="楷体" w:cs="楷体"/>
                          <w:b/>
                          <w:bCs/>
                          <w:sz w:val="72"/>
                          <w:szCs w:val="96"/>
                        </w:rPr>
                        <w:t>2017届毕业生就业质量年度报告</w:t>
                      </w:r>
                    </w:p>
                    <w:p>
                      <w:pPr>
                        <w:jc w:val="center"/>
                      </w:pPr>
                    </w:p>
                  </w:txbxContent>
                </v:textbox>
              </v:shape>
            </w:pict>
          </mc:Fallback>
        </mc:AlternateContent>
      </w:r>
      <w:r>
        <w:rPr>
          <w:rFonts w:hint="eastAsia"/>
        </w:rPr>
        <w:drawing>
          <wp:anchor distT="0" distB="0" distL="114300" distR="114300" simplePos="0" relativeHeight="251689984" behindDoc="1" locked="0" layoutInCell="1" allowOverlap="1">
            <wp:simplePos x="0" y="0"/>
            <wp:positionH relativeFrom="column">
              <wp:posOffset>0</wp:posOffset>
            </wp:positionH>
            <wp:positionV relativeFrom="paragraph">
              <wp:posOffset>-734060</wp:posOffset>
            </wp:positionV>
            <wp:extent cx="7591425" cy="12179935"/>
            <wp:effectExtent l="0" t="0" r="9525" b="0"/>
            <wp:wrapNone/>
            <wp:docPr id="17" name="图片 17" descr="10-1504031FS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0-1504031FSA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91425" cy="12179935"/>
                    </a:xfrm>
                    <a:prstGeom prst="rect">
                      <a:avLst/>
                    </a:prstGeom>
                  </pic:spPr>
                </pic:pic>
              </a:graphicData>
            </a:graphic>
          </wp:anchor>
        </w:drawing>
      </w:r>
    </w:p>
    <w:p>
      <w:pPr>
        <w:pStyle w:val="2"/>
        <w:spacing w:before="312" w:beforeLines="100" w:after="312" w:afterLines="100" w:line="360" w:lineRule="auto"/>
        <w:ind w:left="630" w:leftChars="300" w:right="525" w:rightChars="250"/>
        <w:jc w:val="center"/>
        <w:rPr>
          <w:rFonts w:ascii="Times New Roman" w:hAnsi="Times New Roman" w:eastAsia="黑体"/>
          <w:szCs w:val="32"/>
        </w:rPr>
      </w:pPr>
      <w:bookmarkStart w:id="0" w:name="_Toc501407769"/>
      <w:r>
        <w:rPr>
          <w:rFonts w:hint="eastAsia" w:ascii="Times New Roman" w:hAnsi="Times New Roman" w:eastAsia="黑体"/>
          <w:szCs w:val="32"/>
        </w:rPr>
        <w:t>高校概况</w:t>
      </w:r>
      <w:bookmarkEnd w:id="0"/>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河北传媒学院是一所以传媒、艺术类专业为主，艺、文、工、管等多学科兼容的普通全日制本科院校，经教育部备案，国际代码为12784。</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始建于2000年，2005年3月筹备升本，并招收第一届本科生，2007年3月经教育部批准正式升为本科院校，2009年6月获得学士学位授予权。2011年10月经国家学位委员会批准获得全日制硕士研究生招生资格，2013年开始与中国艺术研究院联合招收培养博士研究生，2015年被确定为河北省“转型发展”试点高校，同年顺利通过教育部本科教学合格评估。</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位于河北省石家庄市，占地面积2060亩，现有兴安、警安两个校区。有研究生院、影视艺术学院、新闻传播学院、艺术设计学院、舞蹈艺术学院、表演艺术学院、艺术体育学院、动画学院、信息技术与文化管理学院、国际传播学院、足球学院、职业技术学院等二级学院。有40个本科专业，17个专科专业，3个专业硕士研究生专业。普通全日制在校生15000人。有省级重点发展学科及省级综合改革试点专业3个，省级精品课程3门，省级实验教学示范中心建设项目2个，省级专业学位研究生培养实践基地和省级大学生校外实践教育基地3个。</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经过17年的建设与发展，学校逐渐形成了一支能满足教学科研需要，学历学位、职称、年龄等结构日趋合理的高水平师资队伍。有专任教师1069人，其中自有教师742人，外聘教师327人。有河北省首批“燕赵文化英才”1人，博士研究生导师3人；正高职称的教师179人，副高职称的教师155人；博士、硕士学位教师423人，有行业工作经历的双师型教师271人。</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拥有“媒介融合云实验教学示范中心”和“全媒体数字音乐实验教学示范中心”2个省级实验示范中心建设项目，2个省级大学生校外实践教育基地，1个省级专业学位研究生培养实践基地，112个校级实习基地，122个实验实训室，4000平米文化创意产业园每年可供3000名学生实习。拥有阿莱专业电影摄影机、航拍遥控无人机等较为先进的设备，常规教学仪器设备充足。1200平米演播厅、400平米融媒体演播厅、特种摄影实验室、混录棚、拟音棚、预混棚等达到国内和行业先进水平。</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图书馆总面积10006平米，中外纸质图书128万册，中外文期刊1109种，电子期刊11.9万种；开通万方数据库、中国知网CNKI数据库、库客数字音乐图书馆、超星学术视频库等多个资源库，购置了超星读秀、百链资源检索平台，校园信息化建设满足教学和科研要求。</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近5年来，学校承担纵向课题150余项，横向课题53项，其中国家艺术基金资助项目1项，教育部人文社会科学研究青年基金项目1项，省级课题40项；发表学术论文1250余篇，其中核心期刊100余篇，出版学术著作和教材65部，创作各类艺术作品300余部（件）；承办国内外学术和人才培养研讨会20余场，面向省内外每年举办“河北传媒学院传媒艺术节”。</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近5年获成果奖励300余项，其中舞蹈《中国梦·太行情》获中国舞蹈“荷花奖”；电影《旗》获中国金鸡百花电影节最佳导演、儿童片、音乐三项提名奖；纪录片《美丽秦怡》获中国（威海）国际微电影盛典银贝最佳纪录短片；编曲的《海英和她的妈妈们》获文化部“群星奖”金奖；作品和论文获河北省影视艺术奔马奖一等奖9项、二等奖12项；获河北省音乐“金钟奖”银、铜奖5项，河北省舞蹈比赛专业青年组一、二等奖5项；纪录片《秦俑复生》等在中央电视台综合、科教频道播出；舞台剧《小兵张嘎》在全国巡演90多场，并赴英国、俄罗斯等国家演出。</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中国校友会网《2017中国大学评价研究报告》中，河北传媒学院名列中国艺术类民办大学排名和河北省民办大学教学质量排名第一。</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建校17年来，已培养了20000多名毕业生，一批又一批优秀学生走出校门，走向社会，活跃在国内外传媒、演艺、新闻出版、教学、科研等领域。</w:t>
      </w:r>
    </w:p>
    <w:p>
      <w:pPr>
        <w:autoSpaceDE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根据《教育部办公厅关于编制发布高校毕业生就业质量年度报告的通知教学厅函[2013]25号》文件要求，学校编制和正式发布《河北传媒学院201</w:t>
      </w:r>
      <w:r>
        <w:rPr>
          <w:rFonts w:hint="eastAsia" w:ascii="Times New Roman" w:hAnsi="Times New Roman" w:eastAsia="宋体" w:cs="Times New Roman"/>
          <w:sz w:val="24"/>
          <w:szCs w:val="24"/>
        </w:rPr>
        <w:t>7</w:t>
      </w:r>
      <w:r>
        <w:rPr>
          <w:rFonts w:ascii="Times New Roman" w:hAnsi="Times New Roman" w:eastAsia="宋体" w:cs="Times New Roman"/>
          <w:sz w:val="24"/>
          <w:szCs w:val="24"/>
        </w:rPr>
        <w:t>届毕业生就业质量年度报告》。本报告数据来源于两个方面：</w:t>
      </w:r>
    </w:p>
    <w:p>
      <w:pPr>
        <w:autoSpaceDE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河北传媒学院毕业生就业信息数据。数据统计截止日期为201</w:t>
      </w:r>
      <w:r>
        <w:rPr>
          <w:rFonts w:hint="eastAsia" w:ascii="Times New Roman" w:hAnsi="Times New Roman" w:eastAsia="宋体" w:cs="Times New Roman"/>
          <w:sz w:val="24"/>
          <w:szCs w:val="24"/>
        </w:rPr>
        <w:t>7</w:t>
      </w:r>
      <w:r>
        <w:rPr>
          <w:rFonts w:ascii="Times New Roman" w:hAnsi="Times New Roman" w:eastAsia="宋体" w:cs="Times New Roman"/>
          <w:sz w:val="24"/>
          <w:szCs w:val="24"/>
        </w:rPr>
        <w:t>年12月</w:t>
      </w:r>
      <w:r>
        <w:rPr>
          <w:rFonts w:hint="eastAsia" w:ascii="Times New Roman" w:hAnsi="Times New Roman" w:eastAsia="宋体" w:cs="Times New Roman"/>
          <w:sz w:val="24"/>
          <w:szCs w:val="24"/>
        </w:rPr>
        <w:t>1</w:t>
      </w:r>
      <w:r>
        <w:rPr>
          <w:rFonts w:ascii="Times New Roman" w:hAnsi="Times New Roman" w:eastAsia="宋体" w:cs="Times New Roman"/>
          <w:sz w:val="24"/>
          <w:szCs w:val="24"/>
        </w:rPr>
        <w:t>日。使用数据主要涉及毕业生的规模和结构、就业率、毕业去向、就业流向、升学流向</w:t>
      </w:r>
      <w:r>
        <w:rPr>
          <w:rFonts w:hint="eastAsia" w:ascii="Times New Roman" w:hAnsi="Times New Roman" w:eastAsia="宋体" w:cs="Times New Roman"/>
          <w:sz w:val="24"/>
          <w:szCs w:val="24"/>
        </w:rPr>
        <w:t>，数据来源为河北省高校就业信息管理系统</w:t>
      </w:r>
      <w:r>
        <w:rPr>
          <w:rFonts w:ascii="Times New Roman" w:hAnsi="Times New Roman" w:eastAsia="宋体" w:cs="Times New Roman"/>
          <w:sz w:val="24"/>
          <w:szCs w:val="24"/>
        </w:rPr>
        <w:t>。</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2．河北传媒学院就业指导中心</w:t>
      </w:r>
      <w:r>
        <w:rPr>
          <w:rFonts w:ascii="Times New Roman" w:hAnsi="Times New Roman" w:eastAsia="宋体" w:cs="Times New Roman"/>
          <w:sz w:val="24"/>
          <w:szCs w:val="24"/>
        </w:rPr>
        <w:t>调研数据，调研面向全校201</w:t>
      </w:r>
      <w:r>
        <w:rPr>
          <w:rFonts w:hint="eastAsia" w:ascii="Times New Roman" w:hAnsi="Times New Roman" w:eastAsia="宋体" w:cs="Times New Roman"/>
          <w:sz w:val="24"/>
          <w:szCs w:val="24"/>
        </w:rPr>
        <w:t>7</w:t>
      </w:r>
      <w:r>
        <w:rPr>
          <w:rFonts w:ascii="Times New Roman" w:hAnsi="Times New Roman" w:eastAsia="宋体" w:cs="Times New Roman"/>
          <w:sz w:val="24"/>
          <w:szCs w:val="24"/>
        </w:rPr>
        <w:t>届毕业生，自201</w:t>
      </w:r>
      <w:r>
        <w:rPr>
          <w:rFonts w:hint="eastAsia" w:ascii="Times New Roman" w:hAnsi="Times New Roman" w:eastAsia="宋体" w:cs="Times New Roman"/>
          <w:sz w:val="24"/>
          <w:szCs w:val="24"/>
        </w:rPr>
        <w:t>7</w:t>
      </w:r>
      <w:r>
        <w:rPr>
          <w:rFonts w:ascii="Times New Roman" w:hAnsi="Times New Roman" w:eastAsia="宋体" w:cs="Times New Roman"/>
          <w:sz w:val="24"/>
          <w:szCs w:val="24"/>
        </w:rPr>
        <w:t>年</w:t>
      </w:r>
      <w:r>
        <w:rPr>
          <w:rFonts w:hint="eastAsia" w:ascii="Times New Roman" w:hAnsi="Times New Roman" w:eastAsia="宋体" w:cs="Times New Roman"/>
          <w:sz w:val="24"/>
          <w:szCs w:val="24"/>
        </w:rPr>
        <w:t>11</w:t>
      </w:r>
      <w:r>
        <w:rPr>
          <w:rFonts w:ascii="Times New Roman" w:hAnsi="Times New Roman" w:eastAsia="宋体" w:cs="Times New Roman"/>
          <w:sz w:val="24"/>
          <w:szCs w:val="24"/>
        </w:rPr>
        <w:t>月</w:t>
      </w:r>
      <w:r>
        <w:rPr>
          <w:rFonts w:hint="eastAsia" w:ascii="Times New Roman" w:hAnsi="Times New Roman" w:eastAsia="宋体" w:cs="Times New Roman"/>
          <w:sz w:val="24"/>
          <w:szCs w:val="24"/>
        </w:rPr>
        <w:t>1</w:t>
      </w:r>
      <w:r>
        <w:rPr>
          <w:rFonts w:ascii="Times New Roman" w:hAnsi="Times New Roman" w:eastAsia="宋体" w:cs="Times New Roman"/>
          <w:sz w:val="24"/>
          <w:szCs w:val="24"/>
        </w:rPr>
        <w:t>日至201</w:t>
      </w:r>
      <w:r>
        <w:rPr>
          <w:rFonts w:hint="eastAsia" w:ascii="Times New Roman" w:hAnsi="Times New Roman" w:eastAsia="宋体" w:cs="Times New Roman"/>
          <w:sz w:val="24"/>
          <w:szCs w:val="24"/>
        </w:rPr>
        <w:t>7</w:t>
      </w:r>
      <w:r>
        <w:rPr>
          <w:rFonts w:ascii="Times New Roman" w:hAnsi="Times New Roman" w:eastAsia="宋体" w:cs="Times New Roman"/>
          <w:sz w:val="24"/>
          <w:szCs w:val="24"/>
        </w:rPr>
        <w:t>年</w:t>
      </w:r>
      <w:r>
        <w:rPr>
          <w:rFonts w:hint="eastAsia" w:ascii="Times New Roman" w:hAnsi="Times New Roman" w:eastAsia="宋体" w:cs="Times New Roman"/>
          <w:sz w:val="24"/>
          <w:szCs w:val="24"/>
        </w:rPr>
        <w:t>12</w:t>
      </w:r>
      <w:r>
        <w:rPr>
          <w:rFonts w:ascii="Times New Roman" w:hAnsi="Times New Roman" w:eastAsia="宋体" w:cs="Times New Roman"/>
          <w:sz w:val="24"/>
          <w:szCs w:val="24"/>
        </w:rPr>
        <w:t>月1日，历时</w:t>
      </w:r>
      <w:r>
        <w:rPr>
          <w:rFonts w:hint="eastAsia" w:ascii="Times New Roman" w:hAnsi="Times New Roman" w:eastAsia="宋体" w:cs="Times New Roman"/>
          <w:sz w:val="24"/>
          <w:szCs w:val="24"/>
        </w:rPr>
        <w:t>30</w:t>
      </w:r>
      <w:r>
        <w:rPr>
          <w:rFonts w:ascii="Times New Roman" w:hAnsi="Times New Roman" w:eastAsia="宋体" w:cs="Times New Roman"/>
          <w:sz w:val="24"/>
          <w:szCs w:val="24"/>
        </w:rPr>
        <w:t>天，共回收有效问卷</w:t>
      </w:r>
      <w:r>
        <w:rPr>
          <w:rFonts w:hint="eastAsia" w:ascii="Times New Roman" w:hAnsi="Times New Roman" w:eastAsia="宋体" w:cs="Times New Roman"/>
          <w:sz w:val="24"/>
          <w:szCs w:val="24"/>
        </w:rPr>
        <w:t>1317</w:t>
      </w:r>
      <w:r>
        <w:rPr>
          <w:rFonts w:ascii="Times New Roman" w:hAnsi="Times New Roman" w:eastAsia="宋体" w:cs="Times New Roman"/>
          <w:sz w:val="24"/>
          <w:szCs w:val="24"/>
        </w:rPr>
        <w:t>份，其中，本科毕业生占有效样本的</w:t>
      </w:r>
      <w:r>
        <w:rPr>
          <w:rFonts w:hint="eastAsia" w:ascii="Times New Roman" w:hAnsi="Times New Roman" w:eastAsia="宋体" w:cs="Times New Roman"/>
          <w:sz w:val="24"/>
          <w:szCs w:val="24"/>
        </w:rPr>
        <w:t>81.7</w:t>
      </w:r>
      <w:r>
        <w:rPr>
          <w:rFonts w:ascii="Times New Roman" w:hAnsi="Times New Roman" w:eastAsia="宋体" w:cs="Times New Roman"/>
          <w:sz w:val="24"/>
          <w:szCs w:val="24"/>
        </w:rPr>
        <w:t>8%；专科毕业生占有效样本的</w:t>
      </w:r>
      <w:r>
        <w:rPr>
          <w:rFonts w:hint="eastAsia" w:ascii="Times New Roman" w:hAnsi="Times New Roman" w:eastAsia="宋体" w:cs="Times New Roman"/>
          <w:sz w:val="24"/>
          <w:szCs w:val="24"/>
        </w:rPr>
        <w:t>18.22</w:t>
      </w:r>
      <w:r>
        <w:rPr>
          <w:rFonts w:ascii="Times New Roman" w:hAnsi="Times New Roman" w:eastAsia="宋体" w:cs="Times New Roman"/>
          <w:sz w:val="24"/>
          <w:szCs w:val="24"/>
        </w:rPr>
        <w:t>%。使用数据涉及就业相关分析及对教育教学的反馈部分。</w:t>
      </w:r>
    </w:p>
    <w:p>
      <w:pPr>
        <w:widowControl/>
        <w:spacing w:line="360" w:lineRule="auto"/>
        <w:jc w:val="left"/>
        <w:rPr>
          <w:rFonts w:ascii="Times New Roman" w:hAnsi="Times New Roman" w:cs="宋体"/>
          <w:kern w:val="0"/>
          <w:sz w:val="24"/>
          <w:szCs w:val="24"/>
        </w:rPr>
      </w:pPr>
      <w:r>
        <w:rPr>
          <w:rFonts w:ascii="Times New Roman" w:hAnsi="Times New Roman"/>
        </w:rPr>
        <w:br w:type="page"/>
      </w:r>
    </w:p>
    <w:p>
      <w:pPr>
        <w:widowControl/>
        <w:spacing w:before="312" w:beforeLines="100" w:after="312" w:afterLines="100" w:line="300" w:lineRule="auto"/>
        <w:jc w:val="center"/>
        <w:rPr>
          <w:rFonts w:ascii="Times New Roman" w:hAnsi="Times New Roman" w:cs="宋体"/>
          <w:b/>
          <w:bCs/>
          <w:kern w:val="0"/>
          <w:sz w:val="24"/>
          <w:szCs w:val="24"/>
        </w:rPr>
      </w:pPr>
      <w:r>
        <w:rPr>
          <w:rFonts w:hint="eastAsia" w:ascii="Times New Roman" w:hAnsi="Times New Roman" w:eastAsia="黑体" w:cs="黑体"/>
          <w:b/>
          <w:bCs/>
          <w:sz w:val="32"/>
          <w:szCs w:val="32"/>
          <w:lang w:val="zh-CN"/>
        </w:rPr>
        <w:t>目</w:t>
      </w:r>
      <w:r>
        <w:rPr>
          <w:rFonts w:hint="eastAsia" w:ascii="Times New Roman" w:hAnsi="Times New Roman" w:eastAsia="黑体" w:cs="黑体"/>
          <w:b/>
          <w:bCs/>
          <w:sz w:val="32"/>
          <w:szCs w:val="32"/>
        </w:rPr>
        <w:t xml:space="preserve">  </w:t>
      </w:r>
      <w:r>
        <w:rPr>
          <w:rFonts w:hint="eastAsia" w:ascii="Times New Roman" w:hAnsi="Times New Roman" w:eastAsia="黑体" w:cs="黑体"/>
          <w:b/>
          <w:bCs/>
          <w:sz w:val="32"/>
          <w:szCs w:val="32"/>
          <w:lang w:val="zh-CN"/>
        </w:rPr>
        <w:t>录</w:t>
      </w:r>
    </w:p>
    <w:p>
      <w:pPr>
        <w:pStyle w:val="14"/>
        <w:tabs>
          <w:tab w:val="right" w:leader="dot" w:pos="8306"/>
          <w:tab w:val="clear" w:pos="8777"/>
        </w:tabs>
        <w:rPr>
          <w:rFonts w:ascii="宋体" w:hAnsi="宋体" w:eastAsia="宋体" w:cs="Times New Roman"/>
          <w:b w:val="0"/>
          <w:caps w:val="0"/>
          <w:sz w:val="21"/>
        </w:rPr>
      </w:pPr>
      <w:r>
        <w:rPr>
          <w:rFonts w:ascii="宋体" w:hAnsi="宋体" w:eastAsia="宋体" w:cs="Times New Roman"/>
          <w:b w:val="0"/>
          <w:caps w:val="0"/>
          <w:sz w:val="21"/>
        </w:rPr>
        <w:fldChar w:fldCharType="begin"/>
      </w:r>
      <w:r>
        <w:rPr>
          <w:rFonts w:ascii="宋体" w:hAnsi="宋体" w:eastAsia="宋体" w:cs="Times New Roman"/>
          <w:b w:val="0"/>
          <w:caps w:val="0"/>
          <w:sz w:val="21"/>
        </w:rPr>
        <w:instrText xml:space="preserve"> TOC \o "1-3" \h \z \u </w:instrText>
      </w:r>
      <w:r>
        <w:rPr>
          <w:rFonts w:ascii="宋体" w:hAnsi="宋体" w:eastAsia="宋体" w:cs="Times New Roman"/>
          <w:b w:val="0"/>
          <w:caps w:val="0"/>
          <w:sz w:val="21"/>
        </w:rPr>
        <w:fldChar w:fldCharType="separate"/>
      </w:r>
      <w:r>
        <w:fldChar w:fldCharType="begin"/>
      </w:r>
      <w:r>
        <w:instrText xml:space="preserve"> HYPERLINK \l "_Toc501407769" </w:instrText>
      </w:r>
      <w:r>
        <w:fldChar w:fldCharType="separate"/>
      </w:r>
      <w:r>
        <w:rPr>
          <w:rFonts w:hint="eastAsia" w:ascii="宋体" w:hAnsi="宋体" w:eastAsia="宋体" w:cs="Times New Roman"/>
          <w:b w:val="0"/>
          <w:caps w:val="0"/>
          <w:sz w:val="21"/>
        </w:rPr>
        <w:t>高校概况</w:t>
      </w:r>
      <w:r>
        <w:rPr>
          <w:rFonts w:ascii="宋体" w:hAnsi="宋体" w:eastAsia="宋体" w:cs="Times New Roman"/>
          <w:b w:val="0"/>
          <w:caps w:val="0"/>
          <w:sz w:val="21"/>
        </w:rPr>
        <w:tab/>
      </w:r>
      <w:r>
        <w:rPr>
          <w:rFonts w:ascii="宋体" w:hAnsi="宋体" w:eastAsia="宋体" w:cs="Times New Roman"/>
          <w:b w:val="0"/>
          <w:caps w:val="0"/>
          <w:sz w:val="21"/>
        </w:rPr>
        <w:fldChar w:fldCharType="begin"/>
      </w:r>
      <w:r>
        <w:rPr>
          <w:rFonts w:ascii="宋体" w:hAnsi="宋体" w:eastAsia="宋体" w:cs="Times New Roman"/>
          <w:b w:val="0"/>
          <w:caps w:val="0"/>
          <w:sz w:val="21"/>
        </w:rPr>
        <w:instrText xml:space="preserve"> PAGEREF _Toc501407769 \h </w:instrText>
      </w:r>
      <w:r>
        <w:rPr>
          <w:rFonts w:ascii="宋体" w:hAnsi="宋体" w:eastAsia="宋体" w:cs="Times New Roman"/>
          <w:b w:val="0"/>
          <w:caps w:val="0"/>
          <w:sz w:val="21"/>
        </w:rPr>
        <w:fldChar w:fldCharType="separate"/>
      </w:r>
      <w:r>
        <w:rPr>
          <w:rFonts w:ascii="宋体" w:hAnsi="宋体" w:eastAsia="宋体" w:cs="Times New Roman"/>
          <w:b w:val="0"/>
          <w:caps w:val="0"/>
          <w:sz w:val="21"/>
        </w:rPr>
        <w:t>I</w:t>
      </w:r>
      <w:r>
        <w:rPr>
          <w:rFonts w:ascii="宋体" w:hAnsi="宋体" w:eastAsia="宋体" w:cs="Times New Roman"/>
          <w:b w:val="0"/>
          <w:caps w:val="0"/>
          <w:sz w:val="21"/>
        </w:rPr>
        <w:fldChar w:fldCharType="end"/>
      </w:r>
      <w:r>
        <w:rPr>
          <w:rFonts w:ascii="宋体" w:hAnsi="宋体" w:eastAsia="宋体" w:cs="Times New Roman"/>
          <w:b w:val="0"/>
          <w:caps w:val="0"/>
          <w:sz w:val="21"/>
        </w:rPr>
        <w:fldChar w:fldCharType="end"/>
      </w:r>
    </w:p>
    <w:p>
      <w:pPr>
        <w:pStyle w:val="14"/>
        <w:tabs>
          <w:tab w:val="right" w:leader="dot" w:pos="8306"/>
          <w:tab w:val="clear" w:pos="8777"/>
        </w:tabs>
        <w:rPr>
          <w:rFonts w:ascii="宋体" w:hAnsi="宋体" w:eastAsia="宋体" w:cs="Times New Roman"/>
          <w:b w:val="0"/>
          <w:caps w:val="0"/>
          <w:sz w:val="21"/>
        </w:rPr>
      </w:pPr>
      <w:r>
        <w:fldChar w:fldCharType="begin"/>
      </w:r>
      <w:r>
        <w:instrText xml:space="preserve"> HYPERLINK \l "_Toc501407770" </w:instrText>
      </w:r>
      <w:r>
        <w:fldChar w:fldCharType="separate"/>
      </w:r>
      <w:r>
        <w:rPr>
          <w:rFonts w:hint="eastAsia" w:ascii="宋体" w:hAnsi="宋体" w:eastAsia="宋体"/>
          <w:b w:val="0"/>
          <w:caps w:val="0"/>
          <w:sz w:val="21"/>
        </w:rPr>
        <w:t>第一章</w:t>
      </w:r>
      <w:r>
        <w:rPr>
          <w:rFonts w:ascii="宋体" w:hAnsi="宋体" w:eastAsia="宋体"/>
          <w:b w:val="0"/>
          <w:caps w:val="0"/>
          <w:sz w:val="21"/>
        </w:rPr>
        <w:t xml:space="preserve"> 2017</w:t>
      </w:r>
      <w:r>
        <w:rPr>
          <w:rFonts w:hint="eastAsia" w:ascii="宋体" w:hAnsi="宋体" w:eastAsia="宋体"/>
          <w:b w:val="0"/>
          <w:caps w:val="0"/>
          <w:sz w:val="21"/>
        </w:rPr>
        <w:t>届毕业生基本情况</w:t>
      </w:r>
      <w:r>
        <w:rPr>
          <w:rFonts w:ascii="宋体" w:hAnsi="宋体" w:eastAsia="宋体" w:cs="Times New Roman"/>
          <w:b w:val="0"/>
          <w:caps w:val="0"/>
          <w:sz w:val="21"/>
        </w:rPr>
        <w:tab/>
      </w:r>
      <w:r>
        <w:rPr>
          <w:rFonts w:ascii="宋体" w:hAnsi="宋体" w:eastAsia="宋体" w:cs="Times New Roman"/>
          <w:b w:val="0"/>
          <w:caps w:val="0"/>
          <w:sz w:val="21"/>
        </w:rPr>
        <w:fldChar w:fldCharType="begin"/>
      </w:r>
      <w:r>
        <w:rPr>
          <w:rFonts w:ascii="宋体" w:hAnsi="宋体" w:eastAsia="宋体" w:cs="Times New Roman"/>
          <w:b w:val="0"/>
          <w:caps w:val="0"/>
          <w:sz w:val="21"/>
        </w:rPr>
        <w:instrText xml:space="preserve"> PAGEREF _Toc501407770 \h </w:instrText>
      </w:r>
      <w:r>
        <w:rPr>
          <w:rFonts w:ascii="宋体" w:hAnsi="宋体" w:eastAsia="宋体" w:cs="Times New Roman"/>
          <w:b w:val="0"/>
          <w:caps w:val="0"/>
          <w:sz w:val="21"/>
        </w:rPr>
        <w:fldChar w:fldCharType="separate"/>
      </w:r>
      <w:r>
        <w:rPr>
          <w:rFonts w:ascii="宋体" w:hAnsi="宋体" w:eastAsia="宋体" w:cs="Times New Roman"/>
          <w:b w:val="0"/>
          <w:caps w:val="0"/>
          <w:sz w:val="21"/>
        </w:rPr>
        <w:t>1</w:t>
      </w:r>
      <w:r>
        <w:rPr>
          <w:rFonts w:ascii="宋体" w:hAnsi="宋体" w:eastAsia="宋体" w:cs="Times New Roman"/>
          <w:b w:val="0"/>
          <w:caps w:val="0"/>
          <w:sz w:val="21"/>
        </w:rPr>
        <w:fldChar w:fldCharType="end"/>
      </w:r>
      <w:r>
        <w:rPr>
          <w:rFonts w:ascii="宋体" w:hAnsi="宋体" w:eastAsia="宋体" w:cs="Times New Roman"/>
          <w:b w:val="0"/>
          <w:caps w:val="0"/>
          <w:sz w:val="21"/>
        </w:rPr>
        <w:fldChar w:fldCharType="end"/>
      </w:r>
    </w:p>
    <w:p>
      <w:pPr>
        <w:pStyle w:val="19"/>
        <w:tabs>
          <w:tab w:val="right" w:leader="dot" w:pos="8296"/>
        </w:tabs>
        <w:spacing w:before="100" w:after="100"/>
        <w:ind w:firstLine="200" w:firstLineChars="100"/>
        <w:rPr>
          <w:rFonts w:ascii="宋体" w:hAnsi="宋体" w:eastAsia="宋体" w:cs="Times New Roman"/>
          <w:smallCaps w:val="0"/>
          <w:sz w:val="21"/>
        </w:rPr>
      </w:pPr>
      <w:r>
        <w:fldChar w:fldCharType="begin"/>
      </w:r>
      <w:r>
        <w:instrText xml:space="preserve"> HYPERLINK \l "_Toc501407771" </w:instrText>
      </w:r>
      <w:r>
        <w:fldChar w:fldCharType="separate"/>
      </w:r>
      <w:r>
        <w:rPr>
          <w:rFonts w:hint="eastAsia" w:ascii="宋体" w:hAnsi="宋体" w:eastAsia="宋体"/>
          <w:smallCaps w:val="0"/>
          <w:sz w:val="21"/>
        </w:rPr>
        <w:t>一、</w:t>
      </w:r>
      <w:r>
        <w:rPr>
          <w:rFonts w:ascii="宋体" w:hAnsi="宋体" w:eastAsia="宋体"/>
          <w:smallCaps w:val="0"/>
          <w:sz w:val="21"/>
        </w:rPr>
        <w:t>2017</w:t>
      </w:r>
      <w:r>
        <w:rPr>
          <w:rFonts w:hint="eastAsia" w:ascii="宋体" w:hAnsi="宋体" w:eastAsia="宋体"/>
          <w:smallCaps w:val="0"/>
          <w:sz w:val="21"/>
        </w:rPr>
        <w:t>届毕业生的规模和结构</w:t>
      </w:r>
      <w:r>
        <w:rPr>
          <w:rFonts w:ascii="宋体" w:hAnsi="宋体" w:eastAsia="宋体" w:cs="Times New Roman"/>
          <w:smallCaps w:val="0"/>
          <w:sz w:val="21"/>
        </w:rPr>
        <w:tab/>
      </w:r>
      <w:r>
        <w:rPr>
          <w:rFonts w:ascii="宋体" w:hAnsi="宋体" w:eastAsia="宋体" w:cs="Times New Roman"/>
          <w:smallCaps w:val="0"/>
          <w:sz w:val="21"/>
        </w:rPr>
        <w:fldChar w:fldCharType="begin"/>
      </w:r>
      <w:r>
        <w:rPr>
          <w:rFonts w:ascii="宋体" w:hAnsi="宋体" w:eastAsia="宋体" w:cs="Times New Roman"/>
          <w:smallCaps w:val="0"/>
          <w:sz w:val="21"/>
        </w:rPr>
        <w:instrText xml:space="preserve"> PAGEREF _Toc501407771 \h </w:instrText>
      </w:r>
      <w:r>
        <w:rPr>
          <w:rFonts w:ascii="宋体" w:hAnsi="宋体" w:eastAsia="宋体" w:cs="Times New Roman"/>
          <w:smallCaps w:val="0"/>
          <w:sz w:val="21"/>
        </w:rPr>
        <w:fldChar w:fldCharType="separate"/>
      </w:r>
      <w:r>
        <w:rPr>
          <w:rFonts w:ascii="宋体" w:hAnsi="宋体" w:eastAsia="宋体" w:cs="Times New Roman"/>
          <w:smallCaps w:val="0"/>
          <w:sz w:val="21"/>
        </w:rPr>
        <w:t>1</w:t>
      </w:r>
      <w:r>
        <w:rPr>
          <w:rFonts w:ascii="宋体" w:hAnsi="宋体" w:eastAsia="宋体" w:cs="Times New Roman"/>
          <w:smallCaps w:val="0"/>
          <w:sz w:val="21"/>
        </w:rPr>
        <w:fldChar w:fldCharType="end"/>
      </w:r>
      <w:r>
        <w:rPr>
          <w:rFonts w:ascii="宋体" w:hAnsi="宋体" w:eastAsia="宋体" w:cs="Times New Roman"/>
          <w:smallCaps w:val="0"/>
          <w:sz w:val="21"/>
        </w:rPr>
        <w:fldChar w:fldCharType="end"/>
      </w:r>
    </w:p>
    <w:p>
      <w:pPr>
        <w:pStyle w:val="9"/>
        <w:tabs>
          <w:tab w:val="right" w:leader="dot" w:pos="8296"/>
        </w:tabs>
        <w:spacing w:before="80" w:after="80"/>
        <w:ind w:firstLine="300" w:firstLineChars="150"/>
        <w:rPr>
          <w:rFonts w:ascii="宋体" w:hAnsi="宋体" w:eastAsia="宋体"/>
          <w:i w:val="0"/>
          <w:sz w:val="21"/>
          <w:szCs w:val="28"/>
        </w:rPr>
      </w:pPr>
      <w:r>
        <w:fldChar w:fldCharType="begin"/>
      </w:r>
      <w:r>
        <w:instrText xml:space="preserve"> HYPERLINK \l "_Toc501407772" </w:instrText>
      </w:r>
      <w:r>
        <w:fldChar w:fldCharType="separate"/>
      </w:r>
      <w:r>
        <w:rPr>
          <w:rFonts w:hint="eastAsia" w:ascii="宋体" w:hAnsi="宋体" w:eastAsia="宋体"/>
          <w:i w:val="0"/>
          <w:sz w:val="21"/>
          <w:szCs w:val="28"/>
        </w:rPr>
        <w:t>（一）</w:t>
      </w:r>
      <w:r>
        <w:rPr>
          <w:rFonts w:ascii="宋体" w:hAnsi="宋体" w:eastAsia="宋体"/>
          <w:i w:val="0"/>
          <w:sz w:val="21"/>
          <w:szCs w:val="28"/>
        </w:rPr>
        <w:t xml:space="preserve"> 2017</w:t>
      </w:r>
      <w:r>
        <w:rPr>
          <w:rFonts w:hint="eastAsia" w:ascii="宋体" w:hAnsi="宋体" w:eastAsia="宋体"/>
          <w:i w:val="0"/>
          <w:sz w:val="21"/>
          <w:szCs w:val="28"/>
        </w:rPr>
        <w:t>届毕业生规模</w:t>
      </w:r>
      <w:r>
        <w:rPr>
          <w:rFonts w:ascii="宋体" w:hAnsi="宋体" w:eastAsia="宋体"/>
          <w:i w:val="0"/>
          <w:sz w:val="21"/>
          <w:szCs w:val="28"/>
        </w:rPr>
        <w:tab/>
      </w:r>
      <w:r>
        <w:rPr>
          <w:rFonts w:ascii="宋体" w:hAnsi="宋体" w:eastAsia="宋体"/>
          <w:i w:val="0"/>
          <w:sz w:val="21"/>
          <w:szCs w:val="28"/>
        </w:rPr>
        <w:fldChar w:fldCharType="begin"/>
      </w:r>
      <w:r>
        <w:rPr>
          <w:rFonts w:ascii="宋体" w:hAnsi="宋体" w:eastAsia="宋体"/>
          <w:i w:val="0"/>
          <w:sz w:val="21"/>
          <w:szCs w:val="28"/>
        </w:rPr>
        <w:instrText xml:space="preserve"> PAGEREF _Toc501407772 \h </w:instrText>
      </w:r>
      <w:r>
        <w:rPr>
          <w:rFonts w:ascii="宋体" w:hAnsi="宋体" w:eastAsia="宋体"/>
          <w:i w:val="0"/>
          <w:sz w:val="21"/>
          <w:szCs w:val="28"/>
        </w:rPr>
        <w:fldChar w:fldCharType="separate"/>
      </w:r>
      <w:r>
        <w:rPr>
          <w:rFonts w:ascii="宋体" w:hAnsi="宋体" w:eastAsia="宋体"/>
          <w:i w:val="0"/>
          <w:sz w:val="21"/>
          <w:szCs w:val="28"/>
        </w:rPr>
        <w:t>1</w:t>
      </w:r>
      <w:r>
        <w:rPr>
          <w:rFonts w:ascii="宋体" w:hAnsi="宋体" w:eastAsia="宋体"/>
          <w:i w:val="0"/>
          <w:sz w:val="21"/>
          <w:szCs w:val="28"/>
        </w:rPr>
        <w:fldChar w:fldCharType="end"/>
      </w:r>
      <w:r>
        <w:rPr>
          <w:rFonts w:ascii="宋体" w:hAnsi="宋体" w:eastAsia="宋体"/>
          <w:i w:val="0"/>
          <w:sz w:val="21"/>
          <w:szCs w:val="28"/>
        </w:rPr>
        <w:fldChar w:fldCharType="end"/>
      </w:r>
    </w:p>
    <w:p>
      <w:pPr>
        <w:pStyle w:val="9"/>
        <w:tabs>
          <w:tab w:val="right" w:leader="dot" w:pos="8296"/>
        </w:tabs>
        <w:spacing w:before="80" w:after="80"/>
        <w:ind w:firstLine="300" w:firstLineChars="150"/>
        <w:rPr>
          <w:rFonts w:ascii="宋体" w:hAnsi="宋体" w:eastAsia="宋体"/>
          <w:i w:val="0"/>
          <w:sz w:val="21"/>
          <w:szCs w:val="28"/>
        </w:rPr>
      </w:pPr>
      <w:r>
        <w:fldChar w:fldCharType="begin"/>
      </w:r>
      <w:r>
        <w:instrText xml:space="preserve"> HYPERLINK \l "_Toc501407773" </w:instrText>
      </w:r>
      <w:r>
        <w:fldChar w:fldCharType="separate"/>
      </w:r>
      <w:r>
        <w:rPr>
          <w:rFonts w:hint="eastAsia" w:ascii="宋体" w:hAnsi="宋体" w:eastAsia="宋体"/>
          <w:i w:val="0"/>
          <w:sz w:val="21"/>
          <w:szCs w:val="28"/>
        </w:rPr>
        <w:t>（二）</w:t>
      </w:r>
      <w:r>
        <w:rPr>
          <w:rFonts w:ascii="宋体" w:hAnsi="宋体" w:eastAsia="宋体"/>
          <w:i w:val="0"/>
          <w:sz w:val="21"/>
          <w:szCs w:val="28"/>
        </w:rPr>
        <w:t xml:space="preserve"> 2017</w:t>
      </w:r>
      <w:r>
        <w:rPr>
          <w:rFonts w:hint="eastAsia" w:ascii="宋体" w:hAnsi="宋体" w:eastAsia="宋体"/>
          <w:i w:val="0"/>
          <w:sz w:val="21"/>
          <w:szCs w:val="28"/>
        </w:rPr>
        <w:t>届毕业生结构</w:t>
      </w:r>
      <w:r>
        <w:rPr>
          <w:rFonts w:ascii="宋体" w:hAnsi="宋体" w:eastAsia="宋体"/>
          <w:i w:val="0"/>
          <w:sz w:val="21"/>
          <w:szCs w:val="28"/>
        </w:rPr>
        <w:tab/>
      </w:r>
      <w:r>
        <w:rPr>
          <w:rFonts w:ascii="宋体" w:hAnsi="宋体" w:eastAsia="宋体"/>
          <w:i w:val="0"/>
          <w:sz w:val="21"/>
          <w:szCs w:val="28"/>
        </w:rPr>
        <w:fldChar w:fldCharType="begin"/>
      </w:r>
      <w:r>
        <w:rPr>
          <w:rFonts w:ascii="宋体" w:hAnsi="宋体" w:eastAsia="宋体"/>
          <w:i w:val="0"/>
          <w:sz w:val="21"/>
          <w:szCs w:val="28"/>
        </w:rPr>
        <w:instrText xml:space="preserve"> PAGEREF _Toc501407773 \h </w:instrText>
      </w:r>
      <w:r>
        <w:rPr>
          <w:rFonts w:ascii="宋体" w:hAnsi="宋体" w:eastAsia="宋体"/>
          <w:i w:val="0"/>
          <w:sz w:val="21"/>
          <w:szCs w:val="28"/>
        </w:rPr>
        <w:fldChar w:fldCharType="separate"/>
      </w:r>
      <w:r>
        <w:rPr>
          <w:rFonts w:ascii="宋体" w:hAnsi="宋体" w:eastAsia="宋体"/>
          <w:i w:val="0"/>
          <w:sz w:val="21"/>
          <w:szCs w:val="28"/>
        </w:rPr>
        <w:t>1</w:t>
      </w:r>
      <w:r>
        <w:rPr>
          <w:rFonts w:ascii="宋体" w:hAnsi="宋体" w:eastAsia="宋体"/>
          <w:i w:val="0"/>
          <w:sz w:val="21"/>
          <w:szCs w:val="28"/>
        </w:rPr>
        <w:fldChar w:fldCharType="end"/>
      </w:r>
      <w:r>
        <w:rPr>
          <w:rFonts w:ascii="宋体" w:hAnsi="宋体" w:eastAsia="宋体"/>
          <w:i w:val="0"/>
          <w:sz w:val="21"/>
          <w:szCs w:val="28"/>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"_Toc501407774" </w:instrText>
      </w:r>
      <w:r>
        <w:fldChar w:fldCharType="separate"/>
      </w:r>
      <w:r>
        <w:rPr>
          <w:rFonts w:ascii="宋体" w:hAnsi="宋体"/>
          <w:bCs/>
          <w:smallCaps w:val="0"/>
          <w:sz w:val="21"/>
          <w:szCs w:val="24"/>
        </w:rPr>
        <w:t>1</w:t>
      </w:r>
      <w:r>
        <w:rPr>
          <w:rFonts w:hint="eastAsia" w:ascii="宋体" w:hAnsi="宋体"/>
          <w:bCs/>
          <w:smallCaps w:val="0"/>
          <w:sz w:val="21"/>
          <w:szCs w:val="24"/>
        </w:rPr>
        <w:t>．</w:t>
      </w:r>
      <w:r>
        <w:rPr>
          <w:rFonts w:ascii="宋体" w:hAnsi="宋体"/>
          <w:bCs/>
          <w:smallCaps w:val="0"/>
          <w:sz w:val="21"/>
          <w:szCs w:val="24"/>
        </w:rPr>
        <w:t>2017</w:t>
      </w:r>
      <w:r>
        <w:rPr>
          <w:rFonts w:hint="eastAsia" w:ascii="宋体" w:hAnsi="宋体"/>
          <w:bCs/>
          <w:smallCaps w:val="0"/>
          <w:sz w:val="21"/>
          <w:szCs w:val="24"/>
        </w:rPr>
        <w:t>届毕业生性别结构分布情况</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_Toc501407774 \h </w:instrText>
      </w:r>
      <w:r>
        <w:rPr>
          <w:rFonts w:ascii="宋体" w:hAnsi="宋体" w:eastAsia="宋体"/>
          <w:bCs/>
          <w:smallCaps w:val="0"/>
          <w:sz w:val="21"/>
          <w:szCs w:val="24"/>
        </w:rPr>
        <w:fldChar w:fldCharType="separate"/>
      </w:r>
      <w:r>
        <w:rPr>
          <w:rFonts w:ascii="宋体" w:hAnsi="宋体" w:eastAsia="宋体"/>
          <w:bCs/>
          <w:smallCaps w:val="0"/>
          <w:sz w:val="21"/>
          <w:szCs w:val="24"/>
        </w:rPr>
        <w:t>1</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"_Toc501407775" </w:instrText>
      </w:r>
      <w:r>
        <w:fldChar w:fldCharType="separate"/>
      </w:r>
      <w:r>
        <w:rPr>
          <w:rFonts w:ascii="宋体" w:hAnsi="宋体"/>
          <w:bCs/>
          <w:smallCaps w:val="0"/>
          <w:sz w:val="21"/>
          <w:szCs w:val="24"/>
        </w:rPr>
        <w:t>2</w:t>
      </w:r>
      <w:r>
        <w:rPr>
          <w:rFonts w:hint="eastAsia" w:ascii="宋体" w:hAnsi="宋体"/>
          <w:bCs/>
          <w:smallCaps w:val="0"/>
          <w:sz w:val="21"/>
          <w:szCs w:val="24"/>
        </w:rPr>
        <w:t>．</w:t>
      </w:r>
      <w:r>
        <w:rPr>
          <w:rFonts w:ascii="宋体" w:hAnsi="宋体"/>
          <w:bCs/>
          <w:smallCaps w:val="0"/>
          <w:sz w:val="21"/>
          <w:szCs w:val="24"/>
        </w:rPr>
        <w:t>2017</w:t>
      </w:r>
      <w:r>
        <w:rPr>
          <w:rFonts w:hint="eastAsia" w:ascii="宋体" w:hAnsi="宋体"/>
          <w:bCs/>
          <w:smallCaps w:val="0"/>
          <w:sz w:val="21"/>
          <w:szCs w:val="24"/>
        </w:rPr>
        <w:t>届毕业生学院和专业分布情况</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_Toc501407775 \h </w:instrText>
      </w:r>
      <w:r>
        <w:rPr>
          <w:rFonts w:ascii="宋体" w:hAnsi="宋体" w:eastAsia="宋体"/>
          <w:bCs/>
          <w:smallCaps w:val="0"/>
          <w:sz w:val="21"/>
          <w:szCs w:val="24"/>
        </w:rPr>
        <w:fldChar w:fldCharType="separate"/>
      </w:r>
      <w:r>
        <w:rPr>
          <w:rFonts w:ascii="宋体" w:hAnsi="宋体" w:eastAsia="宋体"/>
          <w:bCs/>
          <w:smallCaps w:val="0"/>
          <w:sz w:val="21"/>
          <w:szCs w:val="24"/>
        </w:rPr>
        <w:t>2</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"_Toc501407780" </w:instrText>
      </w:r>
      <w:r>
        <w:fldChar w:fldCharType="separate"/>
      </w:r>
      <w:r>
        <w:rPr>
          <w:rFonts w:ascii="宋体" w:hAnsi="宋体"/>
          <w:bCs/>
          <w:smallCaps w:val="0"/>
          <w:sz w:val="21"/>
          <w:szCs w:val="24"/>
        </w:rPr>
        <w:t>3</w:t>
      </w:r>
      <w:r>
        <w:rPr>
          <w:rFonts w:hint="eastAsia" w:ascii="宋体" w:hAnsi="宋体"/>
          <w:bCs/>
          <w:smallCaps w:val="0"/>
          <w:sz w:val="21"/>
          <w:szCs w:val="24"/>
        </w:rPr>
        <w:t>．</w:t>
      </w:r>
      <w:r>
        <w:rPr>
          <w:rFonts w:ascii="宋体" w:hAnsi="宋体"/>
          <w:bCs/>
          <w:smallCaps w:val="0"/>
          <w:sz w:val="21"/>
          <w:szCs w:val="24"/>
        </w:rPr>
        <w:t>2017</w:t>
      </w:r>
      <w:r>
        <w:rPr>
          <w:rFonts w:hint="eastAsia" w:ascii="宋体" w:hAnsi="宋体"/>
          <w:bCs/>
          <w:smallCaps w:val="0"/>
          <w:sz w:val="21"/>
          <w:szCs w:val="24"/>
        </w:rPr>
        <w:t>届毕业生生源分布情况</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_Toc501407780 \h </w:instrText>
      </w:r>
      <w:r>
        <w:rPr>
          <w:rFonts w:ascii="宋体" w:hAnsi="宋体" w:eastAsia="宋体"/>
          <w:bCs/>
          <w:smallCaps w:val="0"/>
          <w:sz w:val="21"/>
          <w:szCs w:val="24"/>
        </w:rPr>
        <w:fldChar w:fldCharType="separate"/>
      </w:r>
      <w:r>
        <w:rPr>
          <w:rFonts w:ascii="宋体" w:hAnsi="宋体" w:eastAsia="宋体"/>
          <w:bCs/>
          <w:smallCaps w:val="0"/>
          <w:sz w:val="21"/>
          <w:szCs w:val="24"/>
        </w:rPr>
        <w:t>4</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"_Toc501407781" </w:instrText>
      </w:r>
      <w:r>
        <w:fldChar w:fldCharType="separate"/>
      </w:r>
      <w:r>
        <w:rPr>
          <w:rFonts w:ascii="宋体" w:hAnsi="宋体"/>
          <w:bCs/>
          <w:smallCaps w:val="0"/>
          <w:sz w:val="21"/>
          <w:szCs w:val="24"/>
        </w:rPr>
        <w:t>4</w:t>
      </w:r>
      <w:r>
        <w:rPr>
          <w:rFonts w:hint="eastAsia" w:ascii="宋体" w:hAnsi="宋体"/>
          <w:bCs/>
          <w:smallCaps w:val="0"/>
          <w:sz w:val="21"/>
          <w:szCs w:val="24"/>
        </w:rPr>
        <w:t>．</w:t>
      </w:r>
      <w:r>
        <w:rPr>
          <w:rFonts w:ascii="宋体" w:hAnsi="宋体"/>
          <w:bCs/>
          <w:smallCaps w:val="0"/>
          <w:sz w:val="21"/>
          <w:szCs w:val="24"/>
        </w:rPr>
        <w:t>2017</w:t>
      </w:r>
      <w:r>
        <w:rPr>
          <w:rFonts w:hint="eastAsia" w:ascii="宋体" w:hAnsi="宋体"/>
          <w:bCs/>
          <w:smallCaps w:val="0"/>
          <w:sz w:val="21"/>
          <w:szCs w:val="24"/>
        </w:rPr>
        <w:t>届毕业生特殊群体分布</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_Toc501407781 \h </w:instrText>
      </w:r>
      <w:r>
        <w:rPr>
          <w:rFonts w:ascii="宋体" w:hAnsi="宋体" w:eastAsia="宋体"/>
          <w:bCs/>
          <w:smallCaps w:val="0"/>
          <w:sz w:val="21"/>
          <w:szCs w:val="24"/>
        </w:rPr>
        <w:fldChar w:fldCharType="separate"/>
      </w:r>
      <w:r>
        <w:rPr>
          <w:rFonts w:ascii="宋体" w:hAnsi="宋体" w:eastAsia="宋体"/>
          <w:bCs/>
          <w:smallCaps w:val="0"/>
          <w:sz w:val="21"/>
          <w:szCs w:val="24"/>
        </w:rPr>
        <w:t>5</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100" w:after="100"/>
        <w:ind w:firstLine="200" w:firstLineChars="100"/>
        <w:rPr>
          <w:rFonts w:ascii="宋体" w:hAnsi="宋体" w:eastAsia="宋体" w:cs="Times New Roman"/>
          <w:smallCaps w:val="0"/>
          <w:sz w:val="21"/>
        </w:rPr>
      </w:pPr>
      <w:r>
        <w:fldChar w:fldCharType="begin"/>
      </w:r>
      <w:r>
        <w:instrText xml:space="preserve"> HYPERLINK \l "_Toc501407785" </w:instrText>
      </w:r>
      <w:r>
        <w:fldChar w:fldCharType="separate"/>
      </w:r>
      <w:r>
        <w:rPr>
          <w:rFonts w:hint="eastAsia" w:ascii="宋体" w:hAnsi="宋体" w:eastAsia="宋体"/>
          <w:smallCaps w:val="0"/>
          <w:sz w:val="21"/>
        </w:rPr>
        <w:t>二、</w:t>
      </w:r>
      <w:r>
        <w:rPr>
          <w:rFonts w:ascii="宋体" w:hAnsi="宋体" w:eastAsia="宋体"/>
          <w:smallCaps w:val="0"/>
          <w:sz w:val="21"/>
        </w:rPr>
        <w:t>2017</w:t>
      </w:r>
      <w:r>
        <w:rPr>
          <w:rFonts w:hint="eastAsia" w:ascii="宋体" w:hAnsi="宋体" w:eastAsia="宋体"/>
          <w:smallCaps w:val="0"/>
          <w:sz w:val="21"/>
        </w:rPr>
        <w:t>届毕业生就业状况分析</w:t>
      </w:r>
      <w:r>
        <w:rPr>
          <w:rFonts w:ascii="宋体" w:hAnsi="宋体" w:eastAsia="宋体" w:cs="Times New Roman"/>
          <w:smallCaps w:val="0"/>
          <w:sz w:val="21"/>
        </w:rPr>
        <w:tab/>
      </w:r>
      <w:r>
        <w:rPr>
          <w:rFonts w:ascii="宋体" w:hAnsi="宋体" w:eastAsia="宋体" w:cs="Times New Roman"/>
          <w:smallCaps w:val="0"/>
          <w:sz w:val="21"/>
        </w:rPr>
        <w:fldChar w:fldCharType="begin"/>
      </w:r>
      <w:r>
        <w:rPr>
          <w:rFonts w:ascii="宋体" w:hAnsi="宋体" w:eastAsia="宋体" w:cs="Times New Roman"/>
          <w:smallCaps w:val="0"/>
          <w:sz w:val="21"/>
        </w:rPr>
        <w:instrText xml:space="preserve"> PAGEREF _Toc501407785 \h </w:instrText>
      </w:r>
      <w:r>
        <w:rPr>
          <w:rFonts w:ascii="宋体" w:hAnsi="宋体" w:eastAsia="宋体" w:cs="Times New Roman"/>
          <w:smallCaps w:val="0"/>
          <w:sz w:val="21"/>
        </w:rPr>
        <w:fldChar w:fldCharType="separate"/>
      </w:r>
      <w:r>
        <w:rPr>
          <w:rFonts w:ascii="宋体" w:hAnsi="宋体" w:eastAsia="宋体" w:cs="Times New Roman"/>
          <w:smallCaps w:val="0"/>
          <w:sz w:val="21"/>
        </w:rPr>
        <w:t>7</w:t>
      </w:r>
      <w:r>
        <w:rPr>
          <w:rFonts w:ascii="宋体" w:hAnsi="宋体" w:eastAsia="宋体" w:cs="Times New Roman"/>
          <w:smallCaps w:val="0"/>
          <w:sz w:val="21"/>
        </w:rPr>
        <w:fldChar w:fldCharType="end"/>
      </w:r>
      <w:r>
        <w:rPr>
          <w:rFonts w:ascii="宋体" w:hAnsi="宋体" w:eastAsia="宋体" w:cs="Times New Roman"/>
          <w:smallCaps w:val="0"/>
          <w:sz w:val="21"/>
        </w:rPr>
        <w:fldChar w:fldCharType="end"/>
      </w:r>
    </w:p>
    <w:p>
      <w:pPr>
        <w:pStyle w:val="9"/>
        <w:tabs>
          <w:tab w:val="right" w:leader="dot" w:pos="8296"/>
        </w:tabs>
        <w:spacing w:before="80" w:after="80"/>
        <w:ind w:firstLine="300" w:firstLineChars="150"/>
        <w:rPr>
          <w:rFonts w:ascii="宋体" w:hAnsi="宋体" w:eastAsia="宋体"/>
          <w:i w:val="0"/>
          <w:sz w:val="21"/>
          <w:szCs w:val="28"/>
        </w:rPr>
      </w:pPr>
      <w:r>
        <w:fldChar w:fldCharType="begin"/>
      </w:r>
      <w:r>
        <w:instrText xml:space="preserve"> HYPERLINK \l "_Toc501407786" </w:instrText>
      </w:r>
      <w:r>
        <w:fldChar w:fldCharType="separate"/>
      </w:r>
      <w:r>
        <w:rPr>
          <w:rFonts w:hint="eastAsia" w:ascii="宋体" w:hAnsi="宋体" w:eastAsia="宋体"/>
          <w:i w:val="0"/>
          <w:sz w:val="21"/>
          <w:szCs w:val="28"/>
        </w:rPr>
        <w:t>（一）</w:t>
      </w:r>
      <w:r>
        <w:rPr>
          <w:rFonts w:ascii="宋体" w:hAnsi="宋体" w:eastAsia="宋体"/>
          <w:i w:val="0"/>
          <w:sz w:val="21"/>
          <w:szCs w:val="28"/>
        </w:rPr>
        <w:t>2017</w:t>
      </w:r>
      <w:r>
        <w:rPr>
          <w:rFonts w:hint="eastAsia" w:ascii="宋体" w:hAnsi="宋体" w:eastAsia="宋体"/>
          <w:i w:val="0"/>
          <w:sz w:val="21"/>
          <w:szCs w:val="28"/>
        </w:rPr>
        <w:t>届毕业生就业率及毕业去向</w:t>
      </w:r>
      <w:r>
        <w:rPr>
          <w:rFonts w:ascii="宋体" w:hAnsi="宋体" w:eastAsia="宋体"/>
          <w:i w:val="0"/>
          <w:sz w:val="21"/>
          <w:szCs w:val="28"/>
        </w:rPr>
        <w:tab/>
      </w:r>
      <w:r>
        <w:rPr>
          <w:rFonts w:ascii="宋体" w:hAnsi="宋体" w:eastAsia="宋体"/>
          <w:i w:val="0"/>
          <w:sz w:val="21"/>
          <w:szCs w:val="28"/>
        </w:rPr>
        <w:fldChar w:fldCharType="begin"/>
      </w:r>
      <w:r>
        <w:rPr>
          <w:rFonts w:ascii="宋体" w:hAnsi="宋体" w:eastAsia="宋体"/>
          <w:i w:val="0"/>
          <w:sz w:val="21"/>
          <w:szCs w:val="28"/>
        </w:rPr>
        <w:instrText xml:space="preserve"> PAGEREF _Toc501407786 \h </w:instrText>
      </w:r>
      <w:r>
        <w:rPr>
          <w:rFonts w:ascii="宋体" w:hAnsi="宋体" w:eastAsia="宋体"/>
          <w:i w:val="0"/>
          <w:sz w:val="21"/>
          <w:szCs w:val="28"/>
        </w:rPr>
        <w:fldChar w:fldCharType="separate"/>
      </w:r>
      <w:r>
        <w:rPr>
          <w:rFonts w:ascii="宋体" w:hAnsi="宋体" w:eastAsia="宋体"/>
          <w:i w:val="0"/>
          <w:sz w:val="21"/>
          <w:szCs w:val="28"/>
        </w:rPr>
        <w:t>7</w:t>
      </w:r>
      <w:r>
        <w:rPr>
          <w:rFonts w:ascii="宋体" w:hAnsi="宋体" w:eastAsia="宋体"/>
          <w:i w:val="0"/>
          <w:sz w:val="21"/>
          <w:szCs w:val="28"/>
        </w:rPr>
        <w:fldChar w:fldCharType="end"/>
      </w:r>
      <w:r>
        <w:rPr>
          <w:rFonts w:ascii="宋体" w:hAnsi="宋体" w:eastAsia="宋体"/>
          <w:i w:val="0"/>
          <w:sz w:val="21"/>
          <w:szCs w:val="28"/>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"_Toc501407787" </w:instrText>
      </w:r>
      <w:r>
        <w:fldChar w:fldCharType="separate"/>
      </w:r>
      <w:r>
        <w:rPr>
          <w:rFonts w:ascii="宋体" w:hAnsi="宋体"/>
          <w:bCs/>
          <w:smallCaps w:val="0"/>
          <w:sz w:val="21"/>
          <w:szCs w:val="24"/>
        </w:rPr>
        <w:t>1</w:t>
      </w:r>
      <w:r>
        <w:rPr>
          <w:rFonts w:hint="eastAsia" w:ascii="宋体" w:hAnsi="宋体"/>
          <w:bCs/>
          <w:smallCaps w:val="0"/>
          <w:sz w:val="21"/>
          <w:szCs w:val="24"/>
        </w:rPr>
        <w:t>．</w:t>
      </w:r>
      <w:r>
        <w:rPr>
          <w:rFonts w:ascii="宋体" w:hAnsi="宋体"/>
          <w:bCs/>
          <w:smallCaps w:val="0"/>
          <w:sz w:val="21"/>
          <w:szCs w:val="24"/>
        </w:rPr>
        <w:t>2017</w:t>
      </w:r>
      <w:r>
        <w:rPr>
          <w:rFonts w:hint="eastAsia" w:ascii="宋体" w:hAnsi="宋体"/>
          <w:bCs/>
          <w:smallCaps w:val="0"/>
          <w:sz w:val="21"/>
          <w:szCs w:val="24"/>
        </w:rPr>
        <w:t>届分层次毕业生就业率</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_Toc501407787 \h </w:instrText>
      </w:r>
      <w:r>
        <w:rPr>
          <w:rFonts w:ascii="宋体" w:hAnsi="宋体" w:eastAsia="宋体"/>
          <w:bCs/>
          <w:smallCaps w:val="0"/>
          <w:sz w:val="21"/>
          <w:szCs w:val="24"/>
        </w:rPr>
        <w:fldChar w:fldCharType="separate"/>
      </w:r>
      <w:r>
        <w:rPr>
          <w:rFonts w:ascii="宋体" w:hAnsi="宋体" w:eastAsia="宋体"/>
          <w:bCs/>
          <w:smallCaps w:val="0"/>
          <w:sz w:val="21"/>
          <w:szCs w:val="24"/>
        </w:rPr>
        <w:t>7</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"_Toc501407788" </w:instrText>
      </w:r>
      <w:r>
        <w:fldChar w:fldCharType="separate"/>
      </w:r>
      <w:r>
        <w:rPr>
          <w:rFonts w:ascii="宋体" w:hAnsi="宋体"/>
          <w:bCs/>
          <w:smallCaps w:val="0"/>
          <w:sz w:val="21"/>
          <w:szCs w:val="24"/>
        </w:rPr>
        <w:t>2</w:t>
      </w:r>
      <w:r>
        <w:rPr>
          <w:rFonts w:hint="eastAsia" w:ascii="宋体" w:hAnsi="宋体"/>
          <w:bCs/>
          <w:smallCaps w:val="0"/>
          <w:sz w:val="21"/>
          <w:szCs w:val="24"/>
        </w:rPr>
        <w:t>．</w:t>
      </w:r>
      <w:r>
        <w:rPr>
          <w:rFonts w:ascii="宋体" w:hAnsi="宋体"/>
          <w:bCs/>
          <w:smallCaps w:val="0"/>
          <w:sz w:val="21"/>
          <w:szCs w:val="24"/>
        </w:rPr>
        <w:t>2017</w:t>
      </w:r>
      <w:r>
        <w:rPr>
          <w:rFonts w:hint="eastAsia" w:ascii="宋体" w:hAnsi="宋体"/>
          <w:bCs/>
          <w:smallCaps w:val="0"/>
          <w:sz w:val="21"/>
          <w:szCs w:val="24"/>
        </w:rPr>
        <w:t>届分学院毕业生就业率</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_Toc501407788 \h </w:instrText>
      </w:r>
      <w:r>
        <w:rPr>
          <w:rFonts w:ascii="宋体" w:hAnsi="宋体" w:eastAsia="宋体"/>
          <w:bCs/>
          <w:smallCaps w:val="0"/>
          <w:sz w:val="21"/>
          <w:szCs w:val="24"/>
        </w:rPr>
        <w:fldChar w:fldCharType="separate"/>
      </w:r>
      <w:r>
        <w:rPr>
          <w:rFonts w:ascii="宋体" w:hAnsi="宋体" w:eastAsia="宋体"/>
          <w:bCs/>
          <w:smallCaps w:val="0"/>
          <w:sz w:val="21"/>
          <w:szCs w:val="24"/>
        </w:rPr>
        <w:t>8</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"_Toc501407789" </w:instrText>
      </w:r>
      <w:r>
        <w:fldChar w:fldCharType="separate"/>
      </w:r>
      <w:r>
        <w:rPr>
          <w:rFonts w:ascii="宋体" w:hAnsi="宋体"/>
          <w:bCs/>
          <w:smallCaps w:val="0"/>
          <w:sz w:val="21"/>
          <w:szCs w:val="24"/>
        </w:rPr>
        <w:t>3</w:t>
      </w:r>
      <w:r>
        <w:rPr>
          <w:rFonts w:hint="eastAsia" w:ascii="宋体" w:hAnsi="宋体"/>
          <w:bCs/>
          <w:smallCaps w:val="0"/>
          <w:sz w:val="21"/>
          <w:szCs w:val="24"/>
        </w:rPr>
        <w:t>．</w:t>
      </w:r>
      <w:r>
        <w:rPr>
          <w:rFonts w:ascii="宋体" w:hAnsi="宋体"/>
          <w:bCs/>
          <w:smallCaps w:val="0"/>
          <w:sz w:val="21"/>
          <w:szCs w:val="24"/>
        </w:rPr>
        <w:t>2017</w:t>
      </w:r>
      <w:r>
        <w:rPr>
          <w:rFonts w:hint="eastAsia" w:ascii="宋体" w:hAnsi="宋体"/>
          <w:bCs/>
          <w:smallCaps w:val="0"/>
          <w:sz w:val="21"/>
          <w:szCs w:val="24"/>
        </w:rPr>
        <w:t>届毕业生毕业去向</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_Toc501407789 \h </w:instrText>
      </w:r>
      <w:r>
        <w:rPr>
          <w:rFonts w:ascii="宋体" w:hAnsi="宋体" w:eastAsia="宋体"/>
          <w:bCs/>
          <w:smallCaps w:val="0"/>
          <w:sz w:val="21"/>
          <w:szCs w:val="24"/>
        </w:rPr>
        <w:fldChar w:fldCharType="separate"/>
      </w:r>
      <w:r>
        <w:rPr>
          <w:rFonts w:ascii="宋体" w:hAnsi="宋体" w:eastAsia="宋体"/>
          <w:bCs/>
          <w:smallCaps w:val="0"/>
          <w:sz w:val="21"/>
          <w:szCs w:val="24"/>
        </w:rPr>
        <w:t>8</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"_Toc501407790" </w:instrText>
      </w:r>
      <w:r>
        <w:fldChar w:fldCharType="separate"/>
      </w:r>
      <w:r>
        <w:rPr>
          <w:rFonts w:ascii="宋体" w:hAnsi="宋体"/>
          <w:bCs/>
          <w:smallCaps w:val="0"/>
          <w:sz w:val="21"/>
          <w:szCs w:val="24"/>
        </w:rPr>
        <w:t>4</w:t>
      </w:r>
      <w:r>
        <w:rPr>
          <w:rFonts w:hint="eastAsia" w:ascii="宋体" w:hAnsi="宋体"/>
          <w:bCs/>
          <w:smallCaps w:val="0"/>
          <w:sz w:val="21"/>
          <w:szCs w:val="24"/>
        </w:rPr>
        <w:t>．未就业原因分析</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_Toc501407790 \h </w:instrText>
      </w:r>
      <w:r>
        <w:rPr>
          <w:rFonts w:ascii="宋体" w:hAnsi="宋体" w:eastAsia="宋体"/>
          <w:bCs/>
          <w:smallCaps w:val="0"/>
          <w:sz w:val="21"/>
          <w:szCs w:val="24"/>
        </w:rPr>
        <w:fldChar w:fldCharType="separate"/>
      </w:r>
      <w:r>
        <w:rPr>
          <w:rFonts w:ascii="宋体" w:hAnsi="宋体" w:eastAsia="宋体"/>
          <w:bCs/>
          <w:smallCaps w:val="0"/>
          <w:sz w:val="21"/>
          <w:szCs w:val="24"/>
        </w:rPr>
        <w:t>9</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9"/>
        <w:tabs>
          <w:tab w:val="right" w:leader="dot" w:pos="8296"/>
        </w:tabs>
        <w:spacing w:before="80" w:after="80"/>
        <w:ind w:firstLine="300" w:firstLineChars="150"/>
        <w:rPr>
          <w:rFonts w:ascii="宋体" w:hAnsi="宋体" w:eastAsia="宋体"/>
          <w:i w:val="0"/>
          <w:sz w:val="21"/>
          <w:szCs w:val="28"/>
        </w:rPr>
      </w:pPr>
      <w:r>
        <w:fldChar w:fldCharType="begin"/>
      </w:r>
      <w:r>
        <w:instrText xml:space="preserve"> HYPERLINK \l "_Toc501407791" </w:instrText>
      </w:r>
      <w:r>
        <w:fldChar w:fldCharType="separate"/>
      </w:r>
      <w:r>
        <w:rPr>
          <w:rFonts w:hint="eastAsia" w:ascii="宋体" w:hAnsi="宋体" w:eastAsia="宋体"/>
          <w:i w:val="0"/>
          <w:sz w:val="21"/>
          <w:szCs w:val="28"/>
        </w:rPr>
        <w:t>（二）</w:t>
      </w:r>
      <w:r>
        <w:rPr>
          <w:rFonts w:ascii="宋体" w:hAnsi="宋体" w:eastAsia="宋体"/>
          <w:i w:val="0"/>
          <w:sz w:val="21"/>
          <w:szCs w:val="28"/>
        </w:rPr>
        <w:t>2017</w:t>
      </w:r>
      <w:r>
        <w:rPr>
          <w:rFonts w:hint="eastAsia" w:ascii="宋体" w:hAnsi="宋体" w:eastAsia="宋体"/>
          <w:i w:val="0"/>
          <w:sz w:val="21"/>
          <w:szCs w:val="28"/>
        </w:rPr>
        <w:t>届分层次分学院</w:t>
      </w:r>
      <w:r>
        <w:rPr>
          <w:rFonts w:ascii="宋体" w:hAnsi="宋体" w:eastAsia="宋体"/>
          <w:i w:val="0"/>
          <w:sz w:val="21"/>
          <w:szCs w:val="28"/>
        </w:rPr>
        <w:t>/</w:t>
      </w:r>
      <w:r>
        <w:rPr>
          <w:rFonts w:hint="eastAsia" w:ascii="宋体" w:hAnsi="宋体" w:eastAsia="宋体"/>
          <w:i w:val="0"/>
          <w:sz w:val="21"/>
          <w:szCs w:val="28"/>
        </w:rPr>
        <w:t>专业毕业生的就业率及毕业去向</w:t>
      </w:r>
      <w:r>
        <w:rPr>
          <w:rFonts w:ascii="宋体" w:hAnsi="宋体" w:eastAsia="宋体"/>
          <w:i w:val="0"/>
          <w:sz w:val="21"/>
          <w:szCs w:val="28"/>
        </w:rPr>
        <w:tab/>
      </w:r>
      <w:r>
        <w:rPr>
          <w:rFonts w:ascii="宋体" w:hAnsi="宋体" w:eastAsia="宋体"/>
          <w:i w:val="0"/>
          <w:sz w:val="21"/>
          <w:szCs w:val="28"/>
        </w:rPr>
        <w:fldChar w:fldCharType="begin"/>
      </w:r>
      <w:r>
        <w:rPr>
          <w:rFonts w:ascii="宋体" w:hAnsi="宋体" w:eastAsia="宋体"/>
          <w:i w:val="0"/>
          <w:sz w:val="21"/>
          <w:szCs w:val="28"/>
        </w:rPr>
        <w:instrText xml:space="preserve"> PAGEREF _Toc501407791 \h </w:instrText>
      </w:r>
      <w:r>
        <w:rPr>
          <w:rFonts w:ascii="宋体" w:hAnsi="宋体" w:eastAsia="宋体"/>
          <w:i w:val="0"/>
          <w:sz w:val="21"/>
          <w:szCs w:val="28"/>
        </w:rPr>
        <w:fldChar w:fldCharType="separate"/>
      </w:r>
      <w:r>
        <w:rPr>
          <w:rFonts w:ascii="宋体" w:hAnsi="宋体" w:eastAsia="宋体"/>
          <w:i w:val="0"/>
          <w:sz w:val="21"/>
          <w:szCs w:val="28"/>
        </w:rPr>
        <w:t>9</w:t>
      </w:r>
      <w:r>
        <w:rPr>
          <w:rFonts w:ascii="宋体" w:hAnsi="宋体" w:eastAsia="宋体"/>
          <w:i w:val="0"/>
          <w:sz w:val="21"/>
          <w:szCs w:val="28"/>
        </w:rPr>
        <w:fldChar w:fldCharType="end"/>
      </w:r>
      <w:r>
        <w:rPr>
          <w:rFonts w:ascii="宋体" w:hAnsi="宋体" w:eastAsia="宋体"/>
          <w:i w:val="0"/>
          <w:sz w:val="21"/>
          <w:szCs w:val="28"/>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"_Toc501407792" </w:instrText>
      </w:r>
      <w:r>
        <w:fldChar w:fldCharType="separate"/>
      </w:r>
      <w:r>
        <w:rPr>
          <w:rFonts w:ascii="宋体" w:hAnsi="宋体"/>
          <w:bCs/>
          <w:smallCaps w:val="0"/>
          <w:sz w:val="21"/>
          <w:szCs w:val="24"/>
        </w:rPr>
        <w:t>1</w:t>
      </w:r>
      <w:r>
        <w:rPr>
          <w:rFonts w:hint="eastAsia" w:ascii="宋体" w:hAnsi="宋体"/>
          <w:bCs/>
          <w:smallCaps w:val="0"/>
          <w:sz w:val="21"/>
          <w:szCs w:val="24"/>
        </w:rPr>
        <w:t>．</w:t>
      </w:r>
      <w:r>
        <w:rPr>
          <w:rFonts w:ascii="宋体" w:hAnsi="宋体"/>
          <w:bCs/>
          <w:smallCaps w:val="0"/>
          <w:sz w:val="21"/>
          <w:szCs w:val="24"/>
        </w:rPr>
        <w:t>2017</w:t>
      </w:r>
      <w:r>
        <w:rPr>
          <w:rFonts w:hint="eastAsia" w:ascii="宋体" w:hAnsi="宋体"/>
          <w:bCs/>
          <w:smallCaps w:val="0"/>
          <w:sz w:val="21"/>
          <w:szCs w:val="24"/>
        </w:rPr>
        <w:t>届分学院</w:t>
      </w:r>
      <w:r>
        <w:rPr>
          <w:rFonts w:ascii="宋体" w:hAnsi="宋体"/>
          <w:bCs/>
          <w:smallCaps w:val="0"/>
          <w:sz w:val="21"/>
          <w:szCs w:val="24"/>
        </w:rPr>
        <w:t>/</w:t>
      </w:r>
      <w:r>
        <w:rPr>
          <w:rFonts w:hint="eastAsia" w:ascii="宋体" w:hAnsi="宋体"/>
          <w:bCs/>
          <w:smallCaps w:val="0"/>
          <w:sz w:val="21"/>
          <w:szCs w:val="24"/>
        </w:rPr>
        <w:t>专业本科毕业生就业率及毕业去向</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_Toc501407792 \h </w:instrText>
      </w:r>
      <w:r>
        <w:rPr>
          <w:rFonts w:ascii="宋体" w:hAnsi="宋体" w:eastAsia="宋体"/>
          <w:bCs/>
          <w:smallCaps w:val="0"/>
          <w:sz w:val="21"/>
          <w:szCs w:val="24"/>
        </w:rPr>
        <w:fldChar w:fldCharType="separate"/>
      </w:r>
      <w:r>
        <w:rPr>
          <w:rFonts w:ascii="宋体" w:hAnsi="宋体" w:eastAsia="宋体"/>
          <w:bCs/>
          <w:smallCaps w:val="0"/>
          <w:sz w:val="21"/>
          <w:szCs w:val="24"/>
        </w:rPr>
        <w:t>9</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"_Toc501407793" </w:instrText>
      </w:r>
      <w:r>
        <w:fldChar w:fldCharType="separate"/>
      </w:r>
      <w:r>
        <w:rPr>
          <w:rFonts w:ascii="宋体" w:hAnsi="宋体"/>
          <w:bCs/>
          <w:smallCaps w:val="0"/>
          <w:sz w:val="21"/>
          <w:szCs w:val="24"/>
        </w:rPr>
        <w:t>2</w:t>
      </w:r>
      <w:r>
        <w:rPr>
          <w:rFonts w:hint="eastAsia" w:ascii="宋体" w:hAnsi="宋体"/>
          <w:bCs/>
          <w:smallCaps w:val="0"/>
          <w:sz w:val="21"/>
          <w:szCs w:val="24"/>
        </w:rPr>
        <w:t>．</w:t>
      </w:r>
      <w:r>
        <w:rPr>
          <w:rFonts w:ascii="宋体" w:hAnsi="宋体"/>
          <w:bCs/>
          <w:smallCaps w:val="0"/>
          <w:sz w:val="21"/>
          <w:szCs w:val="24"/>
        </w:rPr>
        <w:t>2017</w:t>
      </w:r>
      <w:r>
        <w:rPr>
          <w:rFonts w:hint="eastAsia" w:ascii="宋体" w:hAnsi="宋体"/>
          <w:bCs/>
          <w:smallCaps w:val="0"/>
          <w:sz w:val="21"/>
          <w:szCs w:val="24"/>
        </w:rPr>
        <w:t>届分学院</w:t>
      </w:r>
      <w:r>
        <w:rPr>
          <w:rFonts w:ascii="宋体" w:hAnsi="宋体"/>
          <w:bCs/>
          <w:smallCaps w:val="0"/>
          <w:sz w:val="21"/>
          <w:szCs w:val="24"/>
        </w:rPr>
        <w:t>/</w:t>
      </w:r>
      <w:r>
        <w:rPr>
          <w:rFonts w:hint="eastAsia" w:ascii="宋体" w:hAnsi="宋体"/>
          <w:bCs/>
          <w:smallCaps w:val="0"/>
          <w:sz w:val="21"/>
          <w:szCs w:val="24"/>
        </w:rPr>
        <w:t>专业专科毕业生就业率及毕业去向</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_Toc501407793 \h </w:instrText>
      </w:r>
      <w:r>
        <w:rPr>
          <w:rFonts w:ascii="宋体" w:hAnsi="宋体" w:eastAsia="宋体"/>
          <w:bCs/>
          <w:smallCaps w:val="0"/>
          <w:sz w:val="21"/>
          <w:szCs w:val="24"/>
        </w:rPr>
        <w:fldChar w:fldCharType="separate"/>
      </w:r>
      <w:r>
        <w:rPr>
          <w:rFonts w:ascii="宋体" w:hAnsi="宋体" w:eastAsia="宋体"/>
          <w:bCs/>
          <w:smallCaps w:val="0"/>
          <w:sz w:val="21"/>
          <w:szCs w:val="24"/>
        </w:rPr>
        <w:t>11</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100" w:after="100"/>
        <w:ind w:firstLine="200" w:firstLineChars="100"/>
        <w:rPr>
          <w:rFonts w:ascii="宋体" w:hAnsi="宋体" w:eastAsia="宋体" w:cs="Times New Roman"/>
          <w:smallCaps w:val="0"/>
          <w:sz w:val="21"/>
        </w:rPr>
      </w:pPr>
      <w:r>
        <w:fldChar w:fldCharType="begin"/>
      </w:r>
      <w:r>
        <w:instrText xml:space="preserve"> HYPERLINK \l "_Toc501407794" </w:instrText>
      </w:r>
      <w:r>
        <w:fldChar w:fldCharType="separate"/>
      </w:r>
      <w:r>
        <w:rPr>
          <w:rFonts w:hint="eastAsia" w:ascii="宋体" w:hAnsi="宋体" w:eastAsia="宋体"/>
          <w:smallCaps w:val="0"/>
          <w:sz w:val="21"/>
        </w:rPr>
        <w:t>三、</w:t>
      </w:r>
      <w:r>
        <w:rPr>
          <w:rFonts w:ascii="宋体" w:hAnsi="宋体" w:eastAsia="宋体"/>
          <w:smallCaps w:val="0"/>
          <w:sz w:val="21"/>
        </w:rPr>
        <w:t>2017</w:t>
      </w:r>
      <w:r>
        <w:rPr>
          <w:rFonts w:hint="eastAsia" w:ascii="宋体" w:hAnsi="宋体" w:eastAsia="宋体"/>
          <w:smallCaps w:val="0"/>
          <w:sz w:val="21"/>
        </w:rPr>
        <w:t>届毕业生就业流向</w:t>
      </w:r>
      <w:r>
        <w:rPr>
          <w:rFonts w:ascii="宋体" w:hAnsi="宋体" w:eastAsia="宋体" w:cs="Times New Roman"/>
          <w:smallCaps w:val="0"/>
          <w:sz w:val="21"/>
        </w:rPr>
        <w:tab/>
      </w:r>
      <w:r>
        <w:rPr>
          <w:rFonts w:ascii="宋体" w:hAnsi="宋体" w:eastAsia="宋体" w:cs="Times New Roman"/>
          <w:smallCaps w:val="0"/>
          <w:sz w:val="21"/>
        </w:rPr>
        <w:fldChar w:fldCharType="begin"/>
      </w:r>
      <w:r>
        <w:rPr>
          <w:rFonts w:ascii="宋体" w:hAnsi="宋体" w:eastAsia="宋体" w:cs="Times New Roman"/>
          <w:smallCaps w:val="0"/>
          <w:sz w:val="21"/>
        </w:rPr>
        <w:instrText xml:space="preserve"> PAGEREF _Toc501407794 \h </w:instrText>
      </w:r>
      <w:r>
        <w:rPr>
          <w:rFonts w:ascii="宋体" w:hAnsi="宋体" w:eastAsia="宋体" w:cs="Times New Roman"/>
          <w:smallCaps w:val="0"/>
          <w:sz w:val="21"/>
        </w:rPr>
        <w:fldChar w:fldCharType="separate"/>
      </w:r>
      <w:r>
        <w:rPr>
          <w:rFonts w:ascii="宋体" w:hAnsi="宋体" w:eastAsia="宋体" w:cs="Times New Roman"/>
          <w:smallCaps w:val="0"/>
          <w:sz w:val="21"/>
        </w:rPr>
        <w:t>12</w:t>
      </w:r>
      <w:r>
        <w:rPr>
          <w:rFonts w:ascii="宋体" w:hAnsi="宋体" w:eastAsia="宋体" w:cs="Times New Roman"/>
          <w:smallCaps w:val="0"/>
          <w:sz w:val="21"/>
        </w:rPr>
        <w:fldChar w:fldCharType="end"/>
      </w:r>
      <w:r>
        <w:rPr>
          <w:rFonts w:ascii="宋体" w:hAnsi="宋体" w:eastAsia="宋体" w:cs="Times New Roman"/>
          <w:smallCaps w:val="0"/>
          <w:sz w:val="21"/>
        </w:rPr>
        <w:fldChar w:fldCharType="end"/>
      </w:r>
    </w:p>
    <w:p>
      <w:pPr>
        <w:pStyle w:val="9"/>
        <w:tabs>
          <w:tab w:val="right" w:leader="dot" w:pos="8306"/>
        </w:tabs>
        <w:spacing w:before="80" w:after="80"/>
        <w:ind w:firstLine="300" w:firstLineChars="150"/>
        <w:rPr>
          <w:rFonts w:ascii="宋体" w:hAnsi="宋体" w:eastAsia="宋体"/>
          <w:i w:val="0"/>
          <w:sz w:val="21"/>
          <w:szCs w:val="28"/>
        </w:rPr>
      </w:pPr>
      <w:r>
        <w:fldChar w:fldCharType="begin"/>
      </w:r>
      <w:r>
        <w:instrText xml:space="preserve"> HYPERLINK \l "_Toc501407795" </w:instrText>
      </w:r>
      <w:r>
        <w:fldChar w:fldCharType="separate"/>
      </w:r>
      <w:r>
        <w:rPr>
          <w:rFonts w:hint="eastAsia" w:ascii="宋体" w:hAnsi="宋体" w:eastAsia="宋体"/>
          <w:i w:val="0"/>
          <w:sz w:val="21"/>
          <w:szCs w:val="28"/>
        </w:rPr>
        <w:t>（一）</w:t>
      </w:r>
      <w:r>
        <w:rPr>
          <w:rFonts w:ascii="宋体" w:hAnsi="宋体" w:eastAsia="宋体"/>
          <w:i w:val="0"/>
          <w:sz w:val="21"/>
          <w:szCs w:val="28"/>
        </w:rPr>
        <w:t>2017</w:t>
      </w:r>
      <w:r>
        <w:rPr>
          <w:rFonts w:hint="eastAsia" w:ascii="宋体" w:hAnsi="宋体" w:eastAsia="宋体"/>
          <w:i w:val="0"/>
          <w:sz w:val="21"/>
          <w:szCs w:val="28"/>
        </w:rPr>
        <w:t>届分层次毕业生就业地区分布情况</w:t>
      </w:r>
      <w:r>
        <w:rPr>
          <w:rFonts w:ascii="宋体" w:hAnsi="宋体" w:eastAsia="宋体"/>
          <w:i w:val="0"/>
          <w:sz w:val="21"/>
          <w:szCs w:val="28"/>
        </w:rPr>
        <w:tab/>
      </w:r>
      <w:r>
        <w:rPr>
          <w:rFonts w:ascii="宋体" w:hAnsi="宋体" w:eastAsia="宋体"/>
          <w:i w:val="0"/>
          <w:sz w:val="21"/>
          <w:szCs w:val="28"/>
        </w:rPr>
        <w:fldChar w:fldCharType="begin"/>
      </w:r>
      <w:r>
        <w:rPr>
          <w:rFonts w:ascii="宋体" w:hAnsi="宋体" w:eastAsia="宋体"/>
          <w:i w:val="0"/>
          <w:sz w:val="21"/>
          <w:szCs w:val="28"/>
        </w:rPr>
        <w:instrText xml:space="preserve"> PAGEREF _Toc501407795 \h </w:instrText>
      </w:r>
      <w:r>
        <w:rPr>
          <w:rFonts w:ascii="宋体" w:hAnsi="宋体" w:eastAsia="宋体"/>
          <w:i w:val="0"/>
          <w:sz w:val="21"/>
          <w:szCs w:val="28"/>
        </w:rPr>
        <w:fldChar w:fldCharType="separate"/>
      </w:r>
      <w:r>
        <w:rPr>
          <w:rFonts w:ascii="宋体" w:hAnsi="宋体" w:eastAsia="宋体"/>
          <w:i w:val="0"/>
          <w:sz w:val="21"/>
          <w:szCs w:val="28"/>
        </w:rPr>
        <w:t>12</w:t>
      </w:r>
      <w:r>
        <w:rPr>
          <w:rFonts w:ascii="宋体" w:hAnsi="宋体" w:eastAsia="宋体"/>
          <w:i w:val="0"/>
          <w:sz w:val="21"/>
          <w:szCs w:val="28"/>
        </w:rPr>
        <w:fldChar w:fldCharType="end"/>
      </w:r>
      <w:r>
        <w:rPr>
          <w:rFonts w:ascii="宋体" w:hAnsi="宋体" w:eastAsia="宋体"/>
          <w:i w:val="0"/>
          <w:sz w:val="21"/>
          <w:szCs w:val="28"/>
        </w:rPr>
        <w:fldChar w:fldCharType="end"/>
      </w:r>
    </w:p>
    <w:p>
      <w:pPr>
        <w:pStyle w:val="9"/>
        <w:tabs>
          <w:tab w:val="right" w:leader="dot" w:pos="8296"/>
        </w:tabs>
        <w:spacing w:before="80" w:after="80"/>
        <w:ind w:firstLine="300" w:firstLineChars="150"/>
        <w:rPr>
          <w:rFonts w:ascii="宋体" w:hAnsi="宋体" w:eastAsia="宋体"/>
          <w:i w:val="0"/>
          <w:sz w:val="21"/>
          <w:szCs w:val="28"/>
        </w:rPr>
      </w:pPr>
      <w:r>
        <w:fldChar w:fldCharType="begin"/>
      </w:r>
      <w:r>
        <w:instrText xml:space="preserve"> HYPERLINK \l "_Toc501407796" </w:instrText>
      </w:r>
      <w:r>
        <w:fldChar w:fldCharType="separate"/>
      </w:r>
      <w:r>
        <w:rPr>
          <w:rFonts w:hint="eastAsia" w:ascii="宋体" w:hAnsi="宋体" w:eastAsia="宋体"/>
          <w:i w:val="0"/>
          <w:sz w:val="21"/>
          <w:szCs w:val="28"/>
        </w:rPr>
        <w:t>（二）</w:t>
      </w:r>
      <w:r>
        <w:rPr>
          <w:rFonts w:ascii="宋体" w:hAnsi="宋体" w:eastAsia="宋体"/>
          <w:i w:val="0"/>
          <w:sz w:val="21"/>
          <w:szCs w:val="28"/>
        </w:rPr>
        <w:t>2017</w:t>
      </w:r>
      <w:r>
        <w:rPr>
          <w:rFonts w:hint="eastAsia" w:ascii="宋体" w:hAnsi="宋体" w:eastAsia="宋体"/>
          <w:i w:val="0"/>
          <w:sz w:val="21"/>
          <w:szCs w:val="28"/>
        </w:rPr>
        <w:t>届毕业生就业行业分布情况</w:t>
      </w:r>
      <w:r>
        <w:rPr>
          <w:rFonts w:ascii="宋体" w:hAnsi="宋体" w:eastAsia="宋体"/>
          <w:i w:val="0"/>
          <w:sz w:val="21"/>
          <w:szCs w:val="28"/>
        </w:rPr>
        <w:tab/>
      </w:r>
      <w:r>
        <w:rPr>
          <w:rFonts w:ascii="宋体" w:hAnsi="宋体" w:eastAsia="宋体"/>
          <w:i w:val="0"/>
          <w:sz w:val="21"/>
          <w:szCs w:val="28"/>
        </w:rPr>
        <w:fldChar w:fldCharType="begin"/>
      </w:r>
      <w:r>
        <w:rPr>
          <w:rFonts w:ascii="宋体" w:hAnsi="宋体" w:eastAsia="宋体"/>
          <w:i w:val="0"/>
          <w:sz w:val="21"/>
          <w:szCs w:val="28"/>
        </w:rPr>
        <w:instrText xml:space="preserve"> PAGEREF _Toc501407796 \h </w:instrText>
      </w:r>
      <w:r>
        <w:rPr>
          <w:rFonts w:ascii="宋体" w:hAnsi="宋体" w:eastAsia="宋体"/>
          <w:i w:val="0"/>
          <w:sz w:val="21"/>
          <w:szCs w:val="28"/>
        </w:rPr>
        <w:fldChar w:fldCharType="separate"/>
      </w:r>
      <w:r>
        <w:rPr>
          <w:rFonts w:ascii="宋体" w:hAnsi="宋体" w:eastAsia="宋体"/>
          <w:i w:val="0"/>
          <w:sz w:val="21"/>
          <w:szCs w:val="28"/>
        </w:rPr>
        <w:t>14</w:t>
      </w:r>
      <w:r>
        <w:rPr>
          <w:rFonts w:ascii="宋体" w:hAnsi="宋体" w:eastAsia="宋体"/>
          <w:i w:val="0"/>
          <w:sz w:val="21"/>
          <w:szCs w:val="28"/>
        </w:rPr>
        <w:fldChar w:fldCharType="end"/>
      </w:r>
      <w:r>
        <w:rPr>
          <w:rFonts w:ascii="宋体" w:hAnsi="宋体" w:eastAsia="宋体"/>
          <w:i w:val="0"/>
          <w:sz w:val="21"/>
          <w:szCs w:val="28"/>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"_Toc501407797" </w:instrText>
      </w:r>
      <w:r>
        <w:fldChar w:fldCharType="separate"/>
      </w:r>
      <w:r>
        <w:rPr>
          <w:rFonts w:ascii="宋体" w:hAnsi="宋体"/>
          <w:bCs/>
          <w:smallCaps w:val="0"/>
          <w:sz w:val="21"/>
          <w:szCs w:val="24"/>
        </w:rPr>
        <w:t>1</w:t>
      </w:r>
      <w:r>
        <w:rPr>
          <w:rFonts w:hint="eastAsia" w:ascii="宋体" w:hAnsi="宋体"/>
          <w:bCs/>
          <w:smallCaps w:val="0"/>
          <w:sz w:val="21"/>
          <w:szCs w:val="24"/>
        </w:rPr>
        <w:t>．</w:t>
      </w:r>
      <w:r>
        <w:rPr>
          <w:rFonts w:ascii="宋体" w:hAnsi="宋体"/>
          <w:bCs/>
          <w:smallCaps w:val="0"/>
          <w:sz w:val="21"/>
          <w:szCs w:val="24"/>
        </w:rPr>
        <w:t>2017</w:t>
      </w:r>
      <w:r>
        <w:rPr>
          <w:rFonts w:hint="eastAsia" w:ascii="宋体" w:hAnsi="宋体"/>
          <w:bCs/>
          <w:smallCaps w:val="0"/>
          <w:sz w:val="21"/>
          <w:szCs w:val="24"/>
        </w:rPr>
        <w:t>届本科毕业生就业行业分布情况</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_Toc501407797 \h </w:instrText>
      </w:r>
      <w:r>
        <w:rPr>
          <w:rFonts w:ascii="宋体" w:hAnsi="宋体" w:eastAsia="宋体"/>
          <w:bCs/>
          <w:smallCaps w:val="0"/>
          <w:sz w:val="21"/>
          <w:szCs w:val="24"/>
        </w:rPr>
        <w:fldChar w:fldCharType="separate"/>
      </w:r>
      <w:r>
        <w:rPr>
          <w:rFonts w:ascii="宋体" w:hAnsi="宋体" w:eastAsia="宋体"/>
          <w:bCs/>
          <w:smallCaps w:val="0"/>
          <w:sz w:val="21"/>
          <w:szCs w:val="24"/>
        </w:rPr>
        <w:t>14</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"_Toc501407798" </w:instrText>
      </w:r>
      <w:r>
        <w:fldChar w:fldCharType="separate"/>
      </w:r>
      <w:r>
        <w:rPr>
          <w:rFonts w:ascii="宋体" w:hAnsi="宋体"/>
          <w:bCs/>
          <w:smallCaps w:val="0"/>
          <w:sz w:val="21"/>
          <w:szCs w:val="24"/>
        </w:rPr>
        <w:t>2</w:t>
      </w:r>
      <w:r>
        <w:rPr>
          <w:rFonts w:hint="eastAsia" w:ascii="宋体" w:hAnsi="宋体"/>
          <w:bCs/>
          <w:smallCaps w:val="0"/>
          <w:sz w:val="21"/>
          <w:szCs w:val="24"/>
        </w:rPr>
        <w:t>．</w:t>
      </w:r>
      <w:r>
        <w:rPr>
          <w:rFonts w:ascii="宋体" w:hAnsi="宋体"/>
          <w:bCs/>
          <w:smallCaps w:val="0"/>
          <w:sz w:val="21"/>
          <w:szCs w:val="24"/>
        </w:rPr>
        <w:t>2017</w:t>
      </w:r>
      <w:r>
        <w:rPr>
          <w:rFonts w:hint="eastAsia" w:ascii="宋体" w:hAnsi="宋体"/>
          <w:bCs/>
          <w:smallCaps w:val="0"/>
          <w:sz w:val="21"/>
          <w:szCs w:val="24"/>
        </w:rPr>
        <w:t>届专科毕业生就业行业分布情况</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_Toc501407798 \h </w:instrText>
      </w:r>
      <w:r>
        <w:rPr>
          <w:rFonts w:ascii="宋体" w:hAnsi="宋体" w:eastAsia="宋体"/>
          <w:bCs/>
          <w:smallCaps w:val="0"/>
          <w:sz w:val="21"/>
          <w:szCs w:val="24"/>
        </w:rPr>
        <w:fldChar w:fldCharType="separate"/>
      </w:r>
      <w:r>
        <w:rPr>
          <w:rFonts w:ascii="宋体" w:hAnsi="宋体" w:eastAsia="宋体"/>
          <w:bCs/>
          <w:smallCaps w:val="0"/>
          <w:sz w:val="21"/>
          <w:szCs w:val="24"/>
        </w:rPr>
        <w:t>14</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100" w:after="100"/>
        <w:ind w:firstLine="200" w:firstLineChars="100"/>
        <w:rPr>
          <w:rFonts w:ascii="宋体" w:hAnsi="宋体" w:eastAsia="宋体" w:cs="Times New Roman"/>
          <w:smallCaps w:val="0"/>
          <w:sz w:val="21"/>
        </w:rPr>
      </w:pPr>
      <w:r>
        <w:fldChar w:fldCharType="begin"/>
      </w:r>
      <w:r>
        <w:instrText xml:space="preserve"> HYPERLINK \l "_Toc501407799" </w:instrText>
      </w:r>
      <w:r>
        <w:fldChar w:fldCharType="separate"/>
      </w:r>
      <w:r>
        <w:rPr>
          <w:rFonts w:hint="eastAsia" w:ascii="宋体" w:hAnsi="宋体" w:eastAsia="宋体"/>
          <w:smallCaps w:val="0"/>
          <w:sz w:val="21"/>
        </w:rPr>
        <w:t>四、</w:t>
      </w:r>
      <w:r>
        <w:rPr>
          <w:rFonts w:ascii="宋体" w:hAnsi="宋体" w:eastAsia="宋体"/>
          <w:smallCaps w:val="0"/>
          <w:sz w:val="21"/>
        </w:rPr>
        <w:t>2017</w:t>
      </w:r>
      <w:r>
        <w:rPr>
          <w:rFonts w:hint="eastAsia" w:ascii="宋体" w:hAnsi="宋体" w:eastAsia="宋体"/>
          <w:smallCaps w:val="0"/>
          <w:sz w:val="21"/>
        </w:rPr>
        <w:t>届毕业生月薪水平</w:t>
      </w:r>
      <w:r>
        <w:rPr>
          <w:rFonts w:ascii="宋体" w:hAnsi="宋体" w:eastAsia="宋体" w:cs="Times New Roman"/>
          <w:smallCaps w:val="0"/>
          <w:sz w:val="21"/>
        </w:rPr>
        <w:tab/>
      </w:r>
      <w:r>
        <w:rPr>
          <w:rFonts w:ascii="宋体" w:hAnsi="宋体" w:eastAsia="宋体" w:cs="Times New Roman"/>
          <w:smallCaps w:val="0"/>
          <w:sz w:val="21"/>
        </w:rPr>
        <w:fldChar w:fldCharType="begin"/>
      </w:r>
      <w:r>
        <w:rPr>
          <w:rFonts w:ascii="宋体" w:hAnsi="宋体" w:eastAsia="宋体" w:cs="Times New Roman"/>
          <w:smallCaps w:val="0"/>
          <w:sz w:val="21"/>
        </w:rPr>
        <w:instrText xml:space="preserve"> PAGEREF _Toc501407799 \h </w:instrText>
      </w:r>
      <w:r>
        <w:rPr>
          <w:rFonts w:ascii="宋体" w:hAnsi="宋体" w:eastAsia="宋体" w:cs="Times New Roman"/>
          <w:smallCaps w:val="0"/>
          <w:sz w:val="21"/>
        </w:rPr>
        <w:fldChar w:fldCharType="separate"/>
      </w:r>
      <w:r>
        <w:rPr>
          <w:rFonts w:ascii="宋体" w:hAnsi="宋体" w:eastAsia="宋体" w:cs="Times New Roman"/>
          <w:smallCaps w:val="0"/>
          <w:sz w:val="21"/>
        </w:rPr>
        <w:t>15</w:t>
      </w:r>
      <w:r>
        <w:rPr>
          <w:rFonts w:ascii="宋体" w:hAnsi="宋体" w:eastAsia="宋体" w:cs="Times New Roman"/>
          <w:smallCaps w:val="0"/>
          <w:sz w:val="21"/>
        </w:rPr>
        <w:fldChar w:fldCharType="end"/>
      </w:r>
      <w:r>
        <w:rPr>
          <w:rFonts w:ascii="宋体" w:hAnsi="宋体" w:eastAsia="宋体" w:cs="Times New Roman"/>
          <w:smallCaps w:val="0"/>
          <w:sz w:val="21"/>
        </w:rPr>
        <w:fldChar w:fldCharType="end"/>
      </w:r>
    </w:p>
    <w:p>
      <w:pPr>
        <w:pStyle w:val="9"/>
        <w:tabs>
          <w:tab w:val="right" w:leader="dot" w:pos="8296"/>
        </w:tabs>
        <w:spacing w:before="80" w:after="80"/>
        <w:ind w:firstLine="300" w:firstLineChars="150"/>
        <w:rPr>
          <w:rFonts w:ascii="宋体" w:hAnsi="宋体" w:eastAsia="宋体"/>
          <w:i w:val="0"/>
          <w:sz w:val="21"/>
          <w:szCs w:val="28"/>
        </w:rPr>
      </w:pPr>
      <w:r>
        <w:fldChar w:fldCharType="begin"/>
      </w:r>
      <w:r>
        <w:instrText xml:space="preserve"> HYPERLINK \l "_Toc501407800" </w:instrText>
      </w:r>
      <w:r>
        <w:fldChar w:fldCharType="separate"/>
      </w:r>
      <w:r>
        <w:rPr>
          <w:rFonts w:hint="eastAsia" w:ascii="宋体" w:hAnsi="宋体" w:eastAsia="宋体"/>
          <w:i w:val="0"/>
          <w:sz w:val="21"/>
          <w:szCs w:val="28"/>
        </w:rPr>
        <w:t>（一）</w:t>
      </w:r>
      <w:r>
        <w:rPr>
          <w:rFonts w:ascii="宋体" w:hAnsi="宋体" w:eastAsia="宋体"/>
          <w:i w:val="0"/>
          <w:sz w:val="21"/>
          <w:szCs w:val="28"/>
        </w:rPr>
        <w:t>2017</w:t>
      </w:r>
      <w:r>
        <w:rPr>
          <w:rFonts w:hint="eastAsia" w:ascii="宋体" w:hAnsi="宋体" w:eastAsia="宋体"/>
          <w:i w:val="0"/>
          <w:sz w:val="21"/>
          <w:szCs w:val="28"/>
        </w:rPr>
        <w:t>届毕业生总体月薪</w:t>
      </w:r>
      <w:r>
        <w:rPr>
          <w:rFonts w:ascii="宋体" w:hAnsi="宋体" w:eastAsia="宋体"/>
          <w:i w:val="0"/>
          <w:sz w:val="21"/>
          <w:szCs w:val="28"/>
        </w:rPr>
        <w:tab/>
      </w:r>
      <w:r>
        <w:rPr>
          <w:rFonts w:ascii="宋体" w:hAnsi="宋体" w:eastAsia="宋体"/>
          <w:i w:val="0"/>
          <w:sz w:val="21"/>
          <w:szCs w:val="28"/>
        </w:rPr>
        <w:fldChar w:fldCharType="begin"/>
      </w:r>
      <w:r>
        <w:rPr>
          <w:rFonts w:ascii="宋体" w:hAnsi="宋体" w:eastAsia="宋体"/>
          <w:i w:val="0"/>
          <w:sz w:val="21"/>
          <w:szCs w:val="28"/>
        </w:rPr>
        <w:instrText xml:space="preserve"> PAGEREF _Toc501407800 \h </w:instrText>
      </w:r>
      <w:r>
        <w:rPr>
          <w:rFonts w:ascii="宋体" w:hAnsi="宋体" w:eastAsia="宋体"/>
          <w:i w:val="0"/>
          <w:sz w:val="21"/>
          <w:szCs w:val="28"/>
        </w:rPr>
        <w:fldChar w:fldCharType="separate"/>
      </w:r>
      <w:r>
        <w:rPr>
          <w:rFonts w:ascii="宋体" w:hAnsi="宋体" w:eastAsia="宋体"/>
          <w:i w:val="0"/>
          <w:sz w:val="21"/>
          <w:szCs w:val="28"/>
        </w:rPr>
        <w:t>15</w:t>
      </w:r>
      <w:r>
        <w:rPr>
          <w:rFonts w:ascii="宋体" w:hAnsi="宋体" w:eastAsia="宋体"/>
          <w:i w:val="0"/>
          <w:sz w:val="21"/>
          <w:szCs w:val="28"/>
        </w:rPr>
        <w:fldChar w:fldCharType="end"/>
      </w:r>
      <w:r>
        <w:rPr>
          <w:rFonts w:ascii="宋体" w:hAnsi="宋体" w:eastAsia="宋体"/>
          <w:i w:val="0"/>
          <w:sz w:val="21"/>
          <w:szCs w:val="28"/>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"_Toc501407801" </w:instrText>
      </w:r>
      <w:r>
        <w:fldChar w:fldCharType="separate"/>
      </w:r>
      <w:r>
        <w:rPr>
          <w:rFonts w:ascii="宋体" w:hAnsi="宋体"/>
          <w:bCs/>
          <w:smallCaps w:val="0"/>
          <w:sz w:val="21"/>
          <w:szCs w:val="24"/>
        </w:rPr>
        <w:t xml:space="preserve">1. </w:t>
      </w:r>
      <w:r>
        <w:rPr>
          <w:rFonts w:hint="eastAsia" w:ascii="宋体" w:hAnsi="宋体"/>
          <w:bCs/>
          <w:smallCaps w:val="0"/>
          <w:sz w:val="21"/>
          <w:szCs w:val="24"/>
        </w:rPr>
        <w:t>分层次</w:t>
      </w:r>
      <w:r>
        <w:rPr>
          <w:rFonts w:ascii="宋体" w:hAnsi="宋体"/>
          <w:bCs/>
          <w:smallCaps w:val="0"/>
          <w:sz w:val="21"/>
          <w:szCs w:val="24"/>
        </w:rPr>
        <w:t>2017</w:t>
      </w:r>
      <w:r>
        <w:rPr>
          <w:rFonts w:hint="eastAsia" w:ascii="宋体" w:hAnsi="宋体"/>
          <w:bCs/>
          <w:smallCaps w:val="0"/>
          <w:sz w:val="21"/>
          <w:szCs w:val="24"/>
        </w:rPr>
        <w:t>届毕业生的月薪分布</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_Toc501407801 \h </w:instrText>
      </w:r>
      <w:r>
        <w:rPr>
          <w:rFonts w:ascii="宋体" w:hAnsi="宋体" w:eastAsia="宋体"/>
          <w:bCs/>
          <w:smallCaps w:val="0"/>
          <w:sz w:val="21"/>
          <w:szCs w:val="24"/>
        </w:rPr>
        <w:fldChar w:fldCharType="separate"/>
      </w:r>
      <w:r>
        <w:rPr>
          <w:rFonts w:ascii="宋体" w:hAnsi="宋体" w:eastAsia="宋体"/>
          <w:bCs/>
          <w:smallCaps w:val="0"/>
          <w:sz w:val="21"/>
          <w:szCs w:val="24"/>
        </w:rPr>
        <w:t>15</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"_Toc501407802" </w:instrText>
      </w:r>
      <w:r>
        <w:fldChar w:fldCharType="separate"/>
      </w:r>
      <w:r>
        <w:rPr>
          <w:rFonts w:ascii="宋体" w:hAnsi="宋体"/>
          <w:bCs/>
          <w:smallCaps w:val="0"/>
          <w:sz w:val="21"/>
          <w:szCs w:val="24"/>
        </w:rPr>
        <w:t xml:space="preserve">2. </w:t>
      </w:r>
      <w:r>
        <w:rPr>
          <w:rFonts w:hint="eastAsia" w:ascii="宋体" w:hAnsi="宋体"/>
          <w:bCs/>
          <w:smallCaps w:val="0"/>
          <w:sz w:val="21"/>
          <w:szCs w:val="24"/>
        </w:rPr>
        <w:t>分层次</w:t>
      </w:r>
      <w:r>
        <w:rPr>
          <w:rFonts w:ascii="宋体" w:hAnsi="宋体"/>
          <w:bCs/>
          <w:smallCaps w:val="0"/>
          <w:sz w:val="21"/>
          <w:szCs w:val="24"/>
        </w:rPr>
        <w:t>2017</w:t>
      </w:r>
      <w:r>
        <w:rPr>
          <w:rFonts w:hint="eastAsia" w:ascii="宋体" w:hAnsi="宋体"/>
          <w:bCs/>
          <w:smallCaps w:val="0"/>
          <w:sz w:val="21"/>
          <w:szCs w:val="24"/>
        </w:rPr>
        <w:t>届毕业生的月薪分布</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_Toc501407802 \h </w:instrText>
      </w:r>
      <w:r>
        <w:rPr>
          <w:rFonts w:ascii="宋体" w:hAnsi="宋体" w:eastAsia="宋体"/>
          <w:bCs/>
          <w:smallCaps w:val="0"/>
          <w:sz w:val="21"/>
          <w:szCs w:val="24"/>
        </w:rPr>
        <w:fldChar w:fldCharType="separate"/>
      </w:r>
      <w:r>
        <w:rPr>
          <w:rFonts w:ascii="宋体" w:hAnsi="宋体" w:eastAsia="宋体"/>
          <w:bCs/>
          <w:smallCaps w:val="0"/>
          <w:sz w:val="21"/>
          <w:szCs w:val="24"/>
        </w:rPr>
        <w:t>15</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9"/>
        <w:tabs>
          <w:tab w:val="right" w:leader="dot" w:pos="8296"/>
        </w:tabs>
        <w:spacing w:before="80" w:after="80"/>
        <w:ind w:firstLine="300" w:firstLineChars="150"/>
        <w:rPr>
          <w:rFonts w:ascii="宋体" w:hAnsi="宋体" w:eastAsia="宋体"/>
          <w:i w:val="0"/>
          <w:sz w:val="21"/>
          <w:szCs w:val="28"/>
        </w:rPr>
      </w:pPr>
      <w:r>
        <w:fldChar w:fldCharType="begin"/>
      </w:r>
      <w:r>
        <w:instrText xml:space="preserve"> HYPERLINK \l "_Toc501407803" </w:instrText>
      </w:r>
      <w:r>
        <w:fldChar w:fldCharType="separate"/>
      </w:r>
      <w:r>
        <w:rPr>
          <w:rFonts w:hint="eastAsia" w:ascii="宋体" w:hAnsi="宋体" w:eastAsia="宋体"/>
          <w:i w:val="0"/>
          <w:sz w:val="21"/>
          <w:szCs w:val="28"/>
        </w:rPr>
        <w:t>（二）近三届毕业生平均月薪变化趋势</w:t>
      </w:r>
      <w:r>
        <w:rPr>
          <w:rFonts w:ascii="宋体" w:hAnsi="宋体" w:eastAsia="宋体"/>
          <w:i w:val="0"/>
          <w:sz w:val="21"/>
          <w:szCs w:val="28"/>
        </w:rPr>
        <w:tab/>
      </w:r>
      <w:r>
        <w:rPr>
          <w:rFonts w:ascii="宋体" w:hAnsi="宋体" w:eastAsia="宋体"/>
          <w:i w:val="0"/>
          <w:sz w:val="21"/>
          <w:szCs w:val="28"/>
        </w:rPr>
        <w:fldChar w:fldCharType="begin"/>
      </w:r>
      <w:r>
        <w:rPr>
          <w:rFonts w:ascii="宋体" w:hAnsi="宋体" w:eastAsia="宋体"/>
          <w:i w:val="0"/>
          <w:sz w:val="21"/>
          <w:szCs w:val="28"/>
        </w:rPr>
        <w:instrText xml:space="preserve"> PAGEREF _Toc501407803 \h </w:instrText>
      </w:r>
      <w:r>
        <w:rPr>
          <w:rFonts w:ascii="宋体" w:hAnsi="宋体" w:eastAsia="宋体"/>
          <w:i w:val="0"/>
          <w:sz w:val="21"/>
          <w:szCs w:val="28"/>
        </w:rPr>
        <w:fldChar w:fldCharType="separate"/>
      </w:r>
      <w:r>
        <w:rPr>
          <w:rFonts w:ascii="宋体" w:hAnsi="宋体" w:eastAsia="宋体"/>
          <w:i w:val="0"/>
          <w:sz w:val="21"/>
          <w:szCs w:val="28"/>
        </w:rPr>
        <w:t>16</w:t>
      </w:r>
      <w:r>
        <w:rPr>
          <w:rFonts w:ascii="宋体" w:hAnsi="宋体" w:eastAsia="宋体"/>
          <w:i w:val="0"/>
          <w:sz w:val="21"/>
          <w:szCs w:val="28"/>
        </w:rPr>
        <w:fldChar w:fldCharType="end"/>
      </w:r>
      <w:r>
        <w:rPr>
          <w:rFonts w:ascii="宋体" w:hAnsi="宋体" w:eastAsia="宋体"/>
          <w:i w:val="0"/>
          <w:sz w:val="21"/>
          <w:szCs w:val="28"/>
        </w:rPr>
        <w:fldChar w:fldCharType="end"/>
      </w:r>
    </w:p>
    <w:p>
      <w:pPr>
        <w:pStyle w:val="14"/>
        <w:tabs>
          <w:tab w:val="right" w:leader="dot" w:pos="8306"/>
          <w:tab w:val="clear" w:pos="8777"/>
        </w:tabs>
        <w:rPr>
          <w:rFonts w:ascii="宋体" w:hAnsi="宋体" w:eastAsia="宋体" w:cs="Times New Roman"/>
          <w:b w:val="0"/>
          <w:caps w:val="0"/>
          <w:sz w:val="21"/>
        </w:rPr>
      </w:pPr>
      <w:r>
        <w:fldChar w:fldCharType="begin"/>
      </w:r>
      <w:r>
        <w:instrText xml:space="preserve"> HYPERLINK \l "_Toc501407804" </w:instrText>
      </w:r>
      <w:r>
        <w:fldChar w:fldCharType="separate"/>
      </w:r>
      <w:r>
        <w:rPr>
          <w:rFonts w:hint="eastAsia" w:ascii="宋体" w:hAnsi="宋体" w:eastAsia="宋体"/>
          <w:b w:val="0"/>
          <w:caps w:val="0"/>
          <w:sz w:val="21"/>
        </w:rPr>
        <w:t>第二章</w:t>
      </w:r>
      <w:r>
        <w:rPr>
          <w:rFonts w:ascii="宋体" w:hAnsi="宋体" w:eastAsia="宋体"/>
          <w:b w:val="0"/>
          <w:caps w:val="0"/>
          <w:sz w:val="21"/>
        </w:rPr>
        <w:t xml:space="preserve"> </w:t>
      </w:r>
      <w:r>
        <w:rPr>
          <w:rFonts w:hint="eastAsia" w:ascii="宋体" w:hAnsi="宋体" w:eastAsia="宋体"/>
          <w:b w:val="0"/>
          <w:caps w:val="0"/>
          <w:sz w:val="21"/>
        </w:rPr>
        <w:t>就业创业工作举措及评价</w:t>
      </w:r>
      <w:r>
        <w:rPr>
          <w:rFonts w:ascii="宋体" w:hAnsi="宋体" w:eastAsia="宋体" w:cs="Times New Roman"/>
          <w:b w:val="0"/>
          <w:caps w:val="0"/>
          <w:sz w:val="21"/>
        </w:rPr>
        <w:tab/>
      </w:r>
      <w:r>
        <w:rPr>
          <w:rFonts w:ascii="宋体" w:hAnsi="宋体" w:eastAsia="宋体" w:cs="Times New Roman"/>
          <w:b w:val="0"/>
          <w:caps w:val="0"/>
          <w:sz w:val="21"/>
        </w:rPr>
        <w:fldChar w:fldCharType="begin"/>
      </w:r>
      <w:r>
        <w:rPr>
          <w:rFonts w:ascii="宋体" w:hAnsi="宋体" w:eastAsia="宋体" w:cs="Times New Roman"/>
          <w:b w:val="0"/>
          <w:caps w:val="0"/>
          <w:sz w:val="21"/>
        </w:rPr>
        <w:instrText xml:space="preserve"> PAGEREF _Toc501407804 \h </w:instrText>
      </w:r>
      <w:r>
        <w:rPr>
          <w:rFonts w:ascii="宋体" w:hAnsi="宋体" w:eastAsia="宋体" w:cs="Times New Roman"/>
          <w:b w:val="0"/>
          <w:caps w:val="0"/>
          <w:sz w:val="21"/>
        </w:rPr>
        <w:fldChar w:fldCharType="separate"/>
      </w:r>
      <w:r>
        <w:rPr>
          <w:rFonts w:ascii="宋体" w:hAnsi="宋体" w:eastAsia="宋体" w:cs="Times New Roman"/>
          <w:b w:val="0"/>
          <w:caps w:val="0"/>
          <w:sz w:val="21"/>
        </w:rPr>
        <w:t>17</w:t>
      </w:r>
      <w:r>
        <w:rPr>
          <w:rFonts w:ascii="宋体" w:hAnsi="宋体" w:eastAsia="宋体" w:cs="Times New Roman"/>
          <w:b w:val="0"/>
          <w:caps w:val="0"/>
          <w:sz w:val="21"/>
        </w:rPr>
        <w:fldChar w:fldCharType="end"/>
      </w:r>
      <w:r>
        <w:rPr>
          <w:rFonts w:ascii="宋体" w:hAnsi="宋体" w:eastAsia="宋体" w:cs="Times New Roman"/>
          <w:b w:val="0"/>
          <w:caps w:val="0"/>
          <w:sz w:val="21"/>
        </w:rPr>
        <w:fldChar w:fldCharType="end"/>
      </w:r>
    </w:p>
    <w:p>
      <w:pPr>
        <w:pStyle w:val="19"/>
        <w:tabs>
          <w:tab w:val="right" w:leader="dot" w:pos="8296"/>
        </w:tabs>
        <w:spacing w:before="100" w:after="100"/>
        <w:ind w:firstLine="200" w:firstLineChars="100"/>
        <w:rPr>
          <w:rFonts w:ascii="宋体" w:hAnsi="宋体" w:eastAsia="宋体" w:cs="Times New Roman"/>
          <w:smallCaps w:val="0"/>
          <w:sz w:val="21"/>
        </w:rPr>
      </w:pPr>
      <w:r>
        <w:fldChar w:fldCharType="begin"/>
      </w:r>
      <w:r>
        <w:instrText xml:space="preserve"> HYPERLINK \l "_Toc501407805" </w:instrText>
      </w:r>
      <w:r>
        <w:fldChar w:fldCharType="separate"/>
      </w:r>
      <w:r>
        <w:rPr>
          <w:rFonts w:hint="eastAsia" w:ascii="宋体" w:hAnsi="宋体" w:eastAsia="宋体"/>
          <w:smallCaps w:val="0"/>
          <w:sz w:val="21"/>
        </w:rPr>
        <w:t>一、就业工作举措</w:t>
      </w:r>
      <w:r>
        <w:rPr>
          <w:rFonts w:ascii="宋体" w:hAnsi="宋体" w:eastAsia="宋体" w:cs="Times New Roman"/>
          <w:smallCaps w:val="0"/>
          <w:sz w:val="21"/>
        </w:rPr>
        <w:tab/>
      </w:r>
      <w:r>
        <w:rPr>
          <w:rFonts w:ascii="宋体" w:hAnsi="宋体" w:eastAsia="宋体" w:cs="Times New Roman"/>
          <w:smallCaps w:val="0"/>
          <w:sz w:val="21"/>
        </w:rPr>
        <w:fldChar w:fldCharType="begin"/>
      </w:r>
      <w:r>
        <w:rPr>
          <w:rFonts w:ascii="宋体" w:hAnsi="宋体" w:eastAsia="宋体" w:cs="Times New Roman"/>
          <w:smallCaps w:val="0"/>
          <w:sz w:val="21"/>
        </w:rPr>
        <w:instrText xml:space="preserve"> PAGEREF _Toc501407805 \h </w:instrText>
      </w:r>
      <w:r>
        <w:rPr>
          <w:rFonts w:ascii="宋体" w:hAnsi="宋体" w:eastAsia="宋体" w:cs="Times New Roman"/>
          <w:smallCaps w:val="0"/>
          <w:sz w:val="21"/>
        </w:rPr>
        <w:fldChar w:fldCharType="separate"/>
      </w:r>
      <w:r>
        <w:rPr>
          <w:rFonts w:ascii="宋体" w:hAnsi="宋体" w:eastAsia="宋体" w:cs="Times New Roman"/>
          <w:smallCaps w:val="0"/>
          <w:sz w:val="21"/>
        </w:rPr>
        <w:t>17</w:t>
      </w:r>
      <w:r>
        <w:rPr>
          <w:rFonts w:ascii="宋体" w:hAnsi="宋体" w:eastAsia="宋体" w:cs="Times New Roman"/>
          <w:smallCaps w:val="0"/>
          <w:sz w:val="21"/>
        </w:rPr>
        <w:fldChar w:fldCharType="end"/>
      </w:r>
      <w:r>
        <w:rPr>
          <w:rFonts w:ascii="宋体" w:hAnsi="宋体" w:eastAsia="宋体" w:cs="Times New Roman"/>
          <w:smallCaps w:val="0"/>
          <w:sz w:val="21"/>
        </w:rPr>
        <w:fldChar w:fldCharType="end"/>
      </w:r>
    </w:p>
    <w:p>
      <w:pPr>
        <w:pStyle w:val="9"/>
        <w:tabs>
          <w:tab w:val="right" w:leader="dot" w:pos="8296"/>
        </w:tabs>
        <w:spacing w:before="80" w:after="80"/>
        <w:ind w:firstLine="300" w:firstLineChars="150"/>
        <w:rPr>
          <w:rFonts w:ascii="宋体" w:hAnsi="宋体" w:eastAsia="宋体"/>
          <w:i w:val="0"/>
          <w:sz w:val="21"/>
          <w:szCs w:val="28"/>
        </w:rPr>
      </w:pPr>
      <w:r>
        <w:fldChar w:fldCharType="begin"/>
      </w:r>
      <w:r>
        <w:instrText xml:space="preserve"> HYPERLINK \l "_Toc501407806" </w:instrText>
      </w:r>
      <w:r>
        <w:fldChar w:fldCharType="separate"/>
      </w:r>
      <w:r>
        <w:rPr>
          <w:rFonts w:hint="eastAsia" w:ascii="宋体" w:hAnsi="宋体" w:eastAsia="宋体"/>
          <w:i w:val="0"/>
          <w:sz w:val="21"/>
          <w:szCs w:val="28"/>
        </w:rPr>
        <w:t>（一）注重顶层设计，全校联动抓就业</w:t>
      </w:r>
      <w:r>
        <w:rPr>
          <w:rFonts w:ascii="宋体" w:hAnsi="宋体" w:eastAsia="宋体"/>
          <w:i w:val="0"/>
          <w:sz w:val="21"/>
          <w:szCs w:val="28"/>
        </w:rPr>
        <w:tab/>
      </w:r>
      <w:r>
        <w:rPr>
          <w:rFonts w:ascii="宋体" w:hAnsi="宋体" w:eastAsia="宋体"/>
          <w:i w:val="0"/>
          <w:sz w:val="21"/>
          <w:szCs w:val="28"/>
        </w:rPr>
        <w:fldChar w:fldCharType="begin"/>
      </w:r>
      <w:r>
        <w:rPr>
          <w:rFonts w:ascii="宋体" w:hAnsi="宋体" w:eastAsia="宋体"/>
          <w:i w:val="0"/>
          <w:sz w:val="21"/>
          <w:szCs w:val="28"/>
        </w:rPr>
        <w:instrText xml:space="preserve"> PAGEREF _Toc501407806 \h </w:instrText>
      </w:r>
      <w:r>
        <w:rPr>
          <w:rFonts w:ascii="宋体" w:hAnsi="宋体" w:eastAsia="宋体"/>
          <w:i w:val="0"/>
          <w:sz w:val="21"/>
          <w:szCs w:val="28"/>
        </w:rPr>
        <w:fldChar w:fldCharType="separate"/>
      </w:r>
      <w:r>
        <w:rPr>
          <w:rFonts w:ascii="宋体" w:hAnsi="宋体" w:eastAsia="宋体"/>
          <w:i w:val="0"/>
          <w:sz w:val="21"/>
          <w:szCs w:val="28"/>
        </w:rPr>
        <w:t>17</w:t>
      </w:r>
      <w:r>
        <w:rPr>
          <w:rFonts w:ascii="宋体" w:hAnsi="宋体" w:eastAsia="宋体"/>
          <w:i w:val="0"/>
          <w:sz w:val="21"/>
          <w:szCs w:val="28"/>
        </w:rPr>
        <w:fldChar w:fldCharType="end"/>
      </w:r>
      <w:r>
        <w:rPr>
          <w:rFonts w:ascii="宋体" w:hAnsi="宋体" w:eastAsia="宋体"/>
          <w:i w:val="0"/>
          <w:sz w:val="21"/>
          <w:szCs w:val="28"/>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"_Toc501407807" </w:instrText>
      </w:r>
      <w:r>
        <w:fldChar w:fldCharType="separate"/>
      </w:r>
      <w:r>
        <w:rPr>
          <w:rFonts w:ascii="宋体" w:hAnsi="宋体"/>
          <w:bCs/>
          <w:smallCaps w:val="0"/>
          <w:sz w:val="21"/>
          <w:szCs w:val="24"/>
        </w:rPr>
        <w:t>1</w:t>
      </w:r>
      <w:r>
        <w:rPr>
          <w:rFonts w:hint="eastAsia" w:ascii="宋体" w:hAnsi="宋体"/>
          <w:bCs/>
          <w:smallCaps w:val="0"/>
          <w:sz w:val="21"/>
          <w:szCs w:val="24"/>
        </w:rPr>
        <w:t>．一把手工程落实到位</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_Toc501407807 \h </w:instrText>
      </w:r>
      <w:r>
        <w:rPr>
          <w:rFonts w:ascii="宋体" w:hAnsi="宋体" w:eastAsia="宋体"/>
          <w:bCs/>
          <w:smallCaps w:val="0"/>
          <w:sz w:val="21"/>
          <w:szCs w:val="24"/>
        </w:rPr>
        <w:fldChar w:fldCharType="separate"/>
      </w:r>
      <w:r>
        <w:rPr>
          <w:rFonts w:ascii="宋体" w:hAnsi="宋体" w:eastAsia="宋体"/>
          <w:bCs/>
          <w:smallCaps w:val="0"/>
          <w:sz w:val="21"/>
          <w:szCs w:val="24"/>
        </w:rPr>
        <w:t>17</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"_Toc501407808" </w:instrText>
      </w:r>
      <w:r>
        <w:fldChar w:fldCharType="separate"/>
      </w:r>
      <w:r>
        <w:rPr>
          <w:rFonts w:ascii="宋体" w:hAnsi="宋体"/>
          <w:bCs/>
          <w:smallCaps w:val="0"/>
          <w:sz w:val="21"/>
          <w:szCs w:val="24"/>
        </w:rPr>
        <w:t>2</w:t>
      </w:r>
      <w:r>
        <w:rPr>
          <w:rFonts w:hint="eastAsia" w:ascii="宋体" w:hAnsi="宋体"/>
          <w:bCs/>
          <w:smallCaps w:val="0"/>
          <w:sz w:val="21"/>
          <w:szCs w:val="24"/>
        </w:rPr>
        <w:t>．建立就业创业协调联动机制</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_Toc501407808 \h </w:instrText>
      </w:r>
      <w:r>
        <w:rPr>
          <w:rFonts w:ascii="宋体" w:hAnsi="宋体" w:eastAsia="宋体"/>
          <w:bCs/>
          <w:smallCaps w:val="0"/>
          <w:sz w:val="21"/>
          <w:szCs w:val="24"/>
        </w:rPr>
        <w:fldChar w:fldCharType="separate"/>
      </w:r>
      <w:r>
        <w:rPr>
          <w:rFonts w:ascii="宋体" w:hAnsi="宋体" w:eastAsia="宋体"/>
          <w:bCs/>
          <w:smallCaps w:val="0"/>
          <w:sz w:val="21"/>
          <w:szCs w:val="24"/>
        </w:rPr>
        <w:t>17</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"_Toc501407809" </w:instrText>
      </w:r>
      <w:r>
        <w:fldChar w:fldCharType="separate"/>
      </w:r>
      <w:r>
        <w:rPr>
          <w:rFonts w:ascii="宋体" w:hAnsi="宋体"/>
          <w:bCs/>
          <w:smallCaps w:val="0"/>
          <w:sz w:val="21"/>
          <w:szCs w:val="24"/>
        </w:rPr>
        <w:t>3</w:t>
      </w:r>
      <w:r>
        <w:rPr>
          <w:rFonts w:hint="eastAsia" w:ascii="宋体" w:hAnsi="宋体"/>
          <w:bCs/>
          <w:smallCaps w:val="0"/>
          <w:sz w:val="21"/>
          <w:szCs w:val="24"/>
        </w:rPr>
        <w:t>．完善就业制度建设</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_Toc501407809 \h </w:instrText>
      </w:r>
      <w:r>
        <w:rPr>
          <w:rFonts w:ascii="宋体" w:hAnsi="宋体" w:eastAsia="宋体"/>
          <w:bCs/>
          <w:smallCaps w:val="0"/>
          <w:sz w:val="21"/>
          <w:szCs w:val="24"/>
        </w:rPr>
        <w:fldChar w:fldCharType="separate"/>
      </w:r>
      <w:r>
        <w:rPr>
          <w:rFonts w:ascii="宋体" w:hAnsi="宋体" w:eastAsia="宋体"/>
          <w:bCs/>
          <w:smallCaps w:val="0"/>
          <w:sz w:val="21"/>
          <w:szCs w:val="24"/>
        </w:rPr>
        <w:t>17</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"_Toc501407810" </w:instrText>
      </w:r>
      <w:r>
        <w:fldChar w:fldCharType="separate"/>
      </w:r>
      <w:r>
        <w:rPr>
          <w:rFonts w:ascii="宋体" w:hAnsi="宋体"/>
          <w:bCs/>
          <w:smallCaps w:val="0"/>
          <w:sz w:val="21"/>
          <w:szCs w:val="24"/>
        </w:rPr>
        <w:t>4</w:t>
      </w:r>
      <w:r>
        <w:rPr>
          <w:rFonts w:hint="eastAsia" w:ascii="宋体" w:hAnsi="宋体"/>
          <w:bCs/>
          <w:smallCaps w:val="0"/>
          <w:sz w:val="21"/>
          <w:szCs w:val="24"/>
        </w:rPr>
        <w:t>．制定激励政策，建立考核机制</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_Toc501407810 \h </w:instrText>
      </w:r>
      <w:r>
        <w:rPr>
          <w:rFonts w:ascii="宋体" w:hAnsi="宋体" w:eastAsia="宋体"/>
          <w:bCs/>
          <w:smallCaps w:val="0"/>
          <w:sz w:val="21"/>
          <w:szCs w:val="24"/>
        </w:rPr>
        <w:fldChar w:fldCharType="separate"/>
      </w:r>
      <w:r>
        <w:rPr>
          <w:rFonts w:ascii="宋体" w:hAnsi="宋体" w:eastAsia="宋体"/>
          <w:bCs/>
          <w:smallCaps w:val="0"/>
          <w:sz w:val="21"/>
          <w:szCs w:val="24"/>
        </w:rPr>
        <w:t>18</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9"/>
        <w:tabs>
          <w:tab w:val="right" w:leader="dot" w:pos="8296"/>
        </w:tabs>
        <w:spacing w:before="80" w:after="80"/>
        <w:ind w:firstLine="300" w:firstLineChars="150"/>
        <w:rPr>
          <w:rFonts w:ascii="宋体" w:hAnsi="宋体" w:eastAsia="宋体"/>
          <w:i w:val="0"/>
          <w:sz w:val="21"/>
          <w:szCs w:val="28"/>
        </w:rPr>
      </w:pPr>
      <w:r>
        <w:fldChar w:fldCharType="begin"/>
      </w:r>
      <w:r>
        <w:instrText xml:space="preserve"> HYPERLINK \l "_Toc501407811" </w:instrText>
      </w:r>
      <w:r>
        <w:fldChar w:fldCharType="separate"/>
      </w:r>
      <w:r>
        <w:rPr>
          <w:rFonts w:hint="eastAsia" w:ascii="宋体" w:hAnsi="宋体" w:eastAsia="宋体"/>
          <w:i w:val="0"/>
          <w:sz w:val="21"/>
          <w:szCs w:val="28"/>
        </w:rPr>
        <w:t>（二）强化服务管理，“七项工作”促就业</w:t>
      </w:r>
      <w:r>
        <w:rPr>
          <w:rFonts w:ascii="宋体" w:hAnsi="宋体" w:eastAsia="宋体"/>
          <w:i w:val="0"/>
          <w:sz w:val="21"/>
          <w:szCs w:val="28"/>
        </w:rPr>
        <w:tab/>
      </w:r>
      <w:r>
        <w:rPr>
          <w:rFonts w:ascii="宋体" w:hAnsi="宋体" w:eastAsia="宋体"/>
          <w:i w:val="0"/>
          <w:sz w:val="21"/>
          <w:szCs w:val="28"/>
        </w:rPr>
        <w:fldChar w:fldCharType="begin"/>
      </w:r>
      <w:r>
        <w:rPr>
          <w:rFonts w:ascii="宋体" w:hAnsi="宋体" w:eastAsia="宋体"/>
          <w:i w:val="0"/>
          <w:sz w:val="21"/>
          <w:szCs w:val="28"/>
        </w:rPr>
        <w:instrText xml:space="preserve"> PAGEREF _Toc501407811 \h </w:instrText>
      </w:r>
      <w:r>
        <w:rPr>
          <w:rFonts w:ascii="宋体" w:hAnsi="宋体" w:eastAsia="宋体"/>
          <w:i w:val="0"/>
          <w:sz w:val="21"/>
          <w:szCs w:val="28"/>
        </w:rPr>
        <w:fldChar w:fldCharType="separate"/>
      </w:r>
      <w:r>
        <w:rPr>
          <w:rFonts w:ascii="宋体" w:hAnsi="宋体" w:eastAsia="宋体"/>
          <w:i w:val="0"/>
          <w:sz w:val="21"/>
          <w:szCs w:val="28"/>
        </w:rPr>
        <w:t>18</w:t>
      </w:r>
      <w:r>
        <w:rPr>
          <w:rFonts w:ascii="宋体" w:hAnsi="宋体" w:eastAsia="宋体"/>
          <w:i w:val="0"/>
          <w:sz w:val="21"/>
          <w:szCs w:val="28"/>
        </w:rPr>
        <w:fldChar w:fldCharType="end"/>
      </w:r>
      <w:r>
        <w:rPr>
          <w:rFonts w:ascii="宋体" w:hAnsi="宋体" w:eastAsia="宋体"/>
          <w:i w:val="0"/>
          <w:sz w:val="21"/>
          <w:szCs w:val="28"/>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"_Toc501407812" </w:instrText>
      </w:r>
      <w:r>
        <w:fldChar w:fldCharType="separate"/>
      </w:r>
      <w:r>
        <w:rPr>
          <w:rFonts w:ascii="宋体" w:hAnsi="宋体"/>
          <w:bCs/>
          <w:smallCaps w:val="0"/>
          <w:sz w:val="21"/>
          <w:szCs w:val="24"/>
        </w:rPr>
        <w:t>1</w:t>
      </w:r>
      <w:r>
        <w:rPr>
          <w:rFonts w:hint="eastAsia" w:ascii="宋体" w:hAnsi="宋体"/>
          <w:bCs/>
          <w:smallCaps w:val="0"/>
          <w:sz w:val="21"/>
          <w:szCs w:val="24"/>
        </w:rPr>
        <w:t>．做好校园宣讲，政策深入人心</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_Toc501407812 \h </w:instrText>
      </w:r>
      <w:r>
        <w:rPr>
          <w:rFonts w:ascii="宋体" w:hAnsi="宋体" w:eastAsia="宋体"/>
          <w:bCs/>
          <w:smallCaps w:val="0"/>
          <w:sz w:val="21"/>
          <w:szCs w:val="24"/>
        </w:rPr>
        <w:fldChar w:fldCharType="separate"/>
      </w:r>
      <w:r>
        <w:rPr>
          <w:rFonts w:ascii="宋体" w:hAnsi="宋体" w:eastAsia="宋体"/>
          <w:bCs/>
          <w:smallCaps w:val="0"/>
          <w:sz w:val="21"/>
          <w:szCs w:val="24"/>
        </w:rPr>
        <w:t>18</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"_Toc501407813" </w:instrText>
      </w:r>
      <w:r>
        <w:fldChar w:fldCharType="separate"/>
      </w:r>
      <w:r>
        <w:rPr>
          <w:rFonts w:ascii="宋体" w:hAnsi="宋体"/>
          <w:bCs/>
          <w:smallCaps w:val="0"/>
          <w:sz w:val="21"/>
          <w:szCs w:val="24"/>
        </w:rPr>
        <w:t>2</w:t>
      </w:r>
      <w:r>
        <w:rPr>
          <w:rFonts w:hint="eastAsia" w:ascii="宋体" w:hAnsi="宋体"/>
          <w:bCs/>
          <w:smallCaps w:val="0"/>
          <w:sz w:val="21"/>
          <w:szCs w:val="24"/>
        </w:rPr>
        <w:t>．鼓励基层就业，引导服务地方</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_Toc501407813 \h </w:instrText>
      </w:r>
      <w:r>
        <w:rPr>
          <w:rFonts w:ascii="宋体" w:hAnsi="宋体" w:eastAsia="宋体"/>
          <w:bCs/>
          <w:smallCaps w:val="0"/>
          <w:sz w:val="21"/>
          <w:szCs w:val="24"/>
        </w:rPr>
        <w:fldChar w:fldCharType="separate"/>
      </w:r>
      <w:r>
        <w:rPr>
          <w:rFonts w:ascii="宋体" w:hAnsi="宋体" w:eastAsia="宋体"/>
          <w:bCs/>
          <w:smallCaps w:val="0"/>
          <w:sz w:val="21"/>
          <w:szCs w:val="24"/>
        </w:rPr>
        <w:t>18</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"_Toc501407814" </w:instrText>
      </w:r>
      <w:r>
        <w:fldChar w:fldCharType="separate"/>
      </w:r>
      <w:r>
        <w:rPr>
          <w:rFonts w:ascii="宋体" w:hAnsi="宋体"/>
          <w:bCs/>
          <w:smallCaps w:val="0"/>
          <w:sz w:val="21"/>
          <w:szCs w:val="24"/>
        </w:rPr>
        <w:t>3</w:t>
      </w:r>
      <w:r>
        <w:rPr>
          <w:rFonts w:hint="eastAsia" w:ascii="宋体" w:hAnsi="宋体"/>
          <w:bCs/>
          <w:smallCaps w:val="0"/>
          <w:sz w:val="21"/>
          <w:szCs w:val="24"/>
        </w:rPr>
        <w:t>．推广智能化就业，拓宽信息推送渠道</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_Toc501407814 \h </w:instrText>
      </w:r>
      <w:r>
        <w:rPr>
          <w:rFonts w:ascii="宋体" w:hAnsi="宋体" w:eastAsia="宋体"/>
          <w:bCs/>
          <w:smallCaps w:val="0"/>
          <w:sz w:val="21"/>
          <w:szCs w:val="24"/>
        </w:rPr>
        <w:fldChar w:fldCharType="separate"/>
      </w:r>
      <w:r>
        <w:rPr>
          <w:rFonts w:ascii="宋体" w:hAnsi="宋体" w:eastAsia="宋体"/>
          <w:bCs/>
          <w:smallCaps w:val="0"/>
          <w:sz w:val="21"/>
          <w:szCs w:val="24"/>
        </w:rPr>
        <w:t>19</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"_Toc501407815" </w:instrText>
      </w:r>
      <w:r>
        <w:fldChar w:fldCharType="separate"/>
      </w:r>
      <w:r>
        <w:rPr>
          <w:rFonts w:ascii="宋体" w:hAnsi="宋体"/>
          <w:bCs/>
          <w:smallCaps w:val="0"/>
          <w:sz w:val="21"/>
          <w:szCs w:val="24"/>
        </w:rPr>
        <w:t>4</w:t>
      </w:r>
      <w:r>
        <w:rPr>
          <w:rFonts w:hint="eastAsia" w:ascii="宋体" w:hAnsi="宋体"/>
          <w:bCs/>
          <w:smallCaps w:val="0"/>
          <w:sz w:val="21"/>
          <w:szCs w:val="24"/>
        </w:rPr>
        <w:t>．建设就业基地，加强校企合作</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_Toc501407815 \h </w:instrText>
      </w:r>
      <w:r>
        <w:rPr>
          <w:rFonts w:ascii="宋体" w:hAnsi="宋体" w:eastAsia="宋体"/>
          <w:bCs/>
          <w:smallCaps w:val="0"/>
          <w:sz w:val="21"/>
          <w:szCs w:val="24"/>
        </w:rPr>
        <w:fldChar w:fldCharType="separate"/>
      </w:r>
      <w:r>
        <w:rPr>
          <w:rFonts w:ascii="宋体" w:hAnsi="宋体" w:eastAsia="宋体"/>
          <w:bCs/>
          <w:smallCaps w:val="0"/>
          <w:sz w:val="21"/>
          <w:szCs w:val="24"/>
        </w:rPr>
        <w:t>19</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"_Toc501407816" </w:instrText>
      </w:r>
      <w:r>
        <w:fldChar w:fldCharType="separate"/>
      </w:r>
      <w:r>
        <w:rPr>
          <w:rFonts w:ascii="宋体" w:hAnsi="宋体"/>
          <w:bCs/>
          <w:smallCaps w:val="0"/>
          <w:sz w:val="21"/>
          <w:szCs w:val="24"/>
        </w:rPr>
        <w:t>5</w:t>
      </w:r>
      <w:r>
        <w:rPr>
          <w:rFonts w:hint="eastAsia" w:ascii="宋体" w:hAnsi="宋体"/>
          <w:bCs/>
          <w:smallCaps w:val="0"/>
          <w:sz w:val="21"/>
          <w:szCs w:val="24"/>
        </w:rPr>
        <w:t>．完善课程体系，深化职业指导</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_Toc501407816 \h </w:instrText>
      </w:r>
      <w:r>
        <w:rPr>
          <w:rFonts w:ascii="宋体" w:hAnsi="宋体" w:eastAsia="宋体"/>
          <w:bCs/>
          <w:smallCaps w:val="0"/>
          <w:sz w:val="21"/>
          <w:szCs w:val="24"/>
        </w:rPr>
        <w:fldChar w:fldCharType="separate"/>
      </w:r>
      <w:r>
        <w:rPr>
          <w:rFonts w:ascii="宋体" w:hAnsi="宋体" w:eastAsia="宋体"/>
          <w:bCs/>
          <w:smallCaps w:val="0"/>
          <w:sz w:val="21"/>
          <w:szCs w:val="24"/>
        </w:rPr>
        <w:t>20</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"_Toc501407817" </w:instrText>
      </w:r>
      <w:r>
        <w:fldChar w:fldCharType="separate"/>
      </w:r>
      <w:r>
        <w:rPr>
          <w:rFonts w:ascii="宋体" w:hAnsi="宋体"/>
          <w:bCs/>
          <w:smallCaps w:val="0"/>
          <w:sz w:val="21"/>
          <w:szCs w:val="24"/>
        </w:rPr>
        <w:t>6</w:t>
      </w:r>
      <w:r>
        <w:rPr>
          <w:rFonts w:hint="eastAsia" w:ascii="宋体" w:hAnsi="宋体"/>
          <w:bCs/>
          <w:smallCaps w:val="0"/>
          <w:sz w:val="21"/>
          <w:szCs w:val="24"/>
        </w:rPr>
        <w:t>．实施援助帮扶，强化后续服务</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_Toc501407817 \h </w:instrText>
      </w:r>
      <w:r>
        <w:rPr>
          <w:rFonts w:ascii="宋体" w:hAnsi="宋体" w:eastAsia="宋体"/>
          <w:bCs/>
          <w:smallCaps w:val="0"/>
          <w:sz w:val="21"/>
          <w:szCs w:val="24"/>
        </w:rPr>
        <w:fldChar w:fldCharType="separate"/>
      </w:r>
      <w:r>
        <w:rPr>
          <w:rFonts w:ascii="宋体" w:hAnsi="宋体" w:eastAsia="宋体"/>
          <w:bCs/>
          <w:smallCaps w:val="0"/>
          <w:sz w:val="21"/>
          <w:szCs w:val="24"/>
        </w:rPr>
        <w:t>20</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"_Toc501407818" </w:instrText>
      </w:r>
      <w:r>
        <w:fldChar w:fldCharType="separate"/>
      </w:r>
      <w:r>
        <w:rPr>
          <w:rFonts w:ascii="宋体" w:hAnsi="宋体"/>
          <w:bCs/>
          <w:smallCaps w:val="0"/>
          <w:sz w:val="21"/>
          <w:szCs w:val="24"/>
        </w:rPr>
        <w:t>7</w:t>
      </w:r>
      <w:r>
        <w:rPr>
          <w:rFonts w:hint="eastAsia" w:ascii="宋体" w:hAnsi="宋体"/>
          <w:bCs/>
          <w:smallCaps w:val="0"/>
          <w:sz w:val="21"/>
          <w:szCs w:val="24"/>
        </w:rPr>
        <w:t>．开展科学研究，取得研究成果</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_Toc501407818 \h </w:instrText>
      </w:r>
      <w:r>
        <w:rPr>
          <w:rFonts w:ascii="宋体" w:hAnsi="宋体" w:eastAsia="宋体"/>
          <w:bCs/>
          <w:smallCaps w:val="0"/>
          <w:sz w:val="21"/>
          <w:szCs w:val="24"/>
        </w:rPr>
        <w:fldChar w:fldCharType="separate"/>
      </w:r>
      <w:r>
        <w:rPr>
          <w:rFonts w:ascii="宋体" w:hAnsi="宋体" w:eastAsia="宋体"/>
          <w:bCs/>
          <w:smallCaps w:val="0"/>
          <w:sz w:val="21"/>
          <w:szCs w:val="24"/>
        </w:rPr>
        <w:t>21</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100" w:after="100"/>
        <w:ind w:firstLine="200" w:firstLineChars="100"/>
        <w:rPr>
          <w:rFonts w:ascii="宋体" w:hAnsi="宋体" w:eastAsia="宋体" w:cs="Times New Roman"/>
          <w:smallCaps w:val="0"/>
          <w:sz w:val="21"/>
        </w:rPr>
      </w:pPr>
      <w:r>
        <w:fldChar w:fldCharType="begin"/>
      </w:r>
      <w:r>
        <w:instrText xml:space="preserve"> HYPERLINK \l "_Toc501407819" </w:instrText>
      </w:r>
      <w:r>
        <w:fldChar w:fldCharType="separate"/>
      </w:r>
      <w:r>
        <w:rPr>
          <w:rFonts w:hint="eastAsia" w:ascii="宋体" w:hAnsi="宋体" w:eastAsia="宋体"/>
          <w:smallCaps w:val="0"/>
          <w:sz w:val="21"/>
        </w:rPr>
        <w:t>二、创业工作举措</w:t>
      </w:r>
      <w:r>
        <w:rPr>
          <w:rFonts w:ascii="宋体" w:hAnsi="宋体" w:eastAsia="宋体" w:cs="Times New Roman"/>
          <w:smallCaps w:val="0"/>
          <w:sz w:val="21"/>
        </w:rPr>
        <w:tab/>
      </w:r>
      <w:r>
        <w:rPr>
          <w:rFonts w:ascii="宋体" w:hAnsi="宋体" w:eastAsia="宋体" w:cs="Times New Roman"/>
          <w:smallCaps w:val="0"/>
          <w:sz w:val="21"/>
        </w:rPr>
        <w:fldChar w:fldCharType="begin"/>
      </w:r>
      <w:r>
        <w:rPr>
          <w:rFonts w:ascii="宋体" w:hAnsi="宋体" w:eastAsia="宋体" w:cs="Times New Roman"/>
          <w:smallCaps w:val="0"/>
          <w:sz w:val="21"/>
        </w:rPr>
        <w:instrText xml:space="preserve"> PAGEREF _Toc501407819 \h </w:instrText>
      </w:r>
      <w:r>
        <w:rPr>
          <w:rFonts w:ascii="宋体" w:hAnsi="宋体" w:eastAsia="宋体" w:cs="Times New Roman"/>
          <w:smallCaps w:val="0"/>
          <w:sz w:val="21"/>
        </w:rPr>
        <w:fldChar w:fldCharType="separate"/>
      </w:r>
      <w:r>
        <w:rPr>
          <w:rFonts w:ascii="宋体" w:hAnsi="宋体" w:eastAsia="宋体" w:cs="Times New Roman"/>
          <w:smallCaps w:val="0"/>
          <w:sz w:val="21"/>
        </w:rPr>
        <w:t>21</w:t>
      </w:r>
      <w:r>
        <w:rPr>
          <w:rFonts w:ascii="宋体" w:hAnsi="宋体" w:eastAsia="宋体" w:cs="Times New Roman"/>
          <w:smallCaps w:val="0"/>
          <w:sz w:val="21"/>
        </w:rPr>
        <w:fldChar w:fldCharType="end"/>
      </w:r>
      <w:r>
        <w:rPr>
          <w:rFonts w:ascii="宋体" w:hAnsi="宋体" w:eastAsia="宋体" w:cs="Times New Roman"/>
          <w:smallCaps w:val="0"/>
          <w:sz w:val="21"/>
        </w:rPr>
        <w:fldChar w:fldCharType="end"/>
      </w:r>
    </w:p>
    <w:p>
      <w:pPr>
        <w:pStyle w:val="9"/>
        <w:tabs>
          <w:tab w:val="right" w:leader="dot" w:pos="8296"/>
        </w:tabs>
        <w:spacing w:before="80" w:after="80"/>
        <w:ind w:firstLine="300" w:firstLineChars="150"/>
        <w:rPr>
          <w:rFonts w:ascii="宋体" w:hAnsi="宋体" w:eastAsia="宋体"/>
          <w:i w:val="0"/>
          <w:sz w:val="21"/>
          <w:szCs w:val="28"/>
        </w:rPr>
      </w:pPr>
      <w:r>
        <w:fldChar w:fldCharType="begin"/>
      </w:r>
      <w:r>
        <w:instrText xml:space="preserve"> HYPERLINK \l "_Toc501407820" </w:instrText>
      </w:r>
      <w:r>
        <w:fldChar w:fldCharType="separate"/>
      </w:r>
      <w:r>
        <w:rPr>
          <w:rFonts w:hint="eastAsia" w:ascii="宋体" w:hAnsi="宋体" w:eastAsia="宋体"/>
          <w:i w:val="0"/>
          <w:sz w:val="21"/>
          <w:szCs w:val="28"/>
        </w:rPr>
        <w:t>（一）组织领导</w:t>
      </w:r>
      <w:r>
        <w:rPr>
          <w:rFonts w:ascii="宋体" w:hAnsi="宋体" w:eastAsia="宋体"/>
          <w:i w:val="0"/>
          <w:sz w:val="21"/>
          <w:szCs w:val="28"/>
        </w:rPr>
        <w:tab/>
      </w:r>
      <w:r>
        <w:rPr>
          <w:rFonts w:ascii="宋体" w:hAnsi="宋体" w:eastAsia="宋体"/>
          <w:i w:val="0"/>
          <w:sz w:val="21"/>
          <w:szCs w:val="28"/>
        </w:rPr>
        <w:fldChar w:fldCharType="begin"/>
      </w:r>
      <w:r>
        <w:rPr>
          <w:rFonts w:ascii="宋体" w:hAnsi="宋体" w:eastAsia="宋体"/>
          <w:i w:val="0"/>
          <w:sz w:val="21"/>
          <w:szCs w:val="28"/>
        </w:rPr>
        <w:instrText xml:space="preserve"> PAGEREF _Toc501407820 \h </w:instrText>
      </w:r>
      <w:r>
        <w:rPr>
          <w:rFonts w:ascii="宋体" w:hAnsi="宋体" w:eastAsia="宋体"/>
          <w:i w:val="0"/>
          <w:sz w:val="21"/>
          <w:szCs w:val="28"/>
        </w:rPr>
        <w:fldChar w:fldCharType="separate"/>
      </w:r>
      <w:r>
        <w:rPr>
          <w:rFonts w:ascii="宋体" w:hAnsi="宋体" w:eastAsia="宋体"/>
          <w:i w:val="0"/>
          <w:sz w:val="21"/>
          <w:szCs w:val="28"/>
        </w:rPr>
        <w:t>21</w:t>
      </w:r>
      <w:r>
        <w:rPr>
          <w:rFonts w:ascii="宋体" w:hAnsi="宋体" w:eastAsia="宋体"/>
          <w:i w:val="0"/>
          <w:sz w:val="21"/>
          <w:szCs w:val="28"/>
        </w:rPr>
        <w:fldChar w:fldCharType="end"/>
      </w:r>
      <w:r>
        <w:rPr>
          <w:rFonts w:ascii="宋体" w:hAnsi="宋体" w:eastAsia="宋体"/>
          <w:i w:val="0"/>
          <w:sz w:val="21"/>
          <w:szCs w:val="28"/>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"_Toc501407821" </w:instrText>
      </w:r>
      <w:r>
        <w:fldChar w:fldCharType="separate"/>
      </w:r>
      <w:r>
        <w:rPr>
          <w:rFonts w:ascii="宋体" w:hAnsi="宋体"/>
          <w:bCs/>
          <w:smallCaps w:val="0"/>
          <w:sz w:val="21"/>
          <w:szCs w:val="24"/>
        </w:rPr>
        <w:t>1</w:t>
      </w:r>
      <w:r>
        <w:rPr>
          <w:rFonts w:hint="eastAsia" w:ascii="宋体" w:hAnsi="宋体"/>
          <w:bCs/>
          <w:smallCaps w:val="0"/>
          <w:sz w:val="21"/>
          <w:szCs w:val="24"/>
        </w:rPr>
        <w:t>．领导高度重视，建立健全工作机制</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_Toc501407821 \h </w:instrText>
      </w:r>
      <w:r>
        <w:rPr>
          <w:rFonts w:ascii="宋体" w:hAnsi="宋体" w:eastAsia="宋体"/>
          <w:bCs/>
          <w:smallCaps w:val="0"/>
          <w:sz w:val="21"/>
          <w:szCs w:val="24"/>
        </w:rPr>
        <w:fldChar w:fldCharType="separate"/>
      </w:r>
      <w:r>
        <w:rPr>
          <w:rFonts w:ascii="宋体" w:hAnsi="宋体" w:eastAsia="宋体"/>
          <w:bCs/>
          <w:smallCaps w:val="0"/>
          <w:sz w:val="21"/>
          <w:szCs w:val="24"/>
        </w:rPr>
        <w:t>21</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"_Toc501407822" </w:instrText>
      </w:r>
      <w:r>
        <w:fldChar w:fldCharType="separate"/>
      </w:r>
      <w:r>
        <w:rPr>
          <w:rFonts w:ascii="宋体" w:hAnsi="宋体"/>
          <w:bCs/>
          <w:smallCaps w:val="0"/>
          <w:sz w:val="21"/>
          <w:szCs w:val="24"/>
        </w:rPr>
        <w:t>2</w:t>
      </w:r>
      <w:r>
        <w:rPr>
          <w:rFonts w:hint="eastAsia" w:ascii="宋体" w:hAnsi="宋体"/>
          <w:bCs/>
          <w:smallCaps w:val="0"/>
          <w:sz w:val="21"/>
          <w:szCs w:val="24"/>
        </w:rPr>
        <w:t>．创新运行机制，实行公司化运营</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_Toc501407822 \h </w:instrText>
      </w:r>
      <w:r>
        <w:rPr>
          <w:rFonts w:ascii="宋体" w:hAnsi="宋体" w:eastAsia="宋体"/>
          <w:bCs/>
          <w:smallCaps w:val="0"/>
          <w:sz w:val="21"/>
          <w:szCs w:val="24"/>
        </w:rPr>
        <w:fldChar w:fldCharType="separate"/>
      </w:r>
      <w:r>
        <w:rPr>
          <w:rFonts w:ascii="宋体" w:hAnsi="宋体" w:eastAsia="宋体"/>
          <w:bCs/>
          <w:smallCaps w:val="0"/>
          <w:sz w:val="21"/>
          <w:szCs w:val="24"/>
        </w:rPr>
        <w:t>22</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9"/>
        <w:tabs>
          <w:tab w:val="right" w:leader="dot" w:pos="8296"/>
        </w:tabs>
        <w:spacing w:before="80" w:after="80"/>
        <w:ind w:firstLine="300" w:firstLineChars="150"/>
        <w:rPr>
          <w:rFonts w:ascii="宋体" w:hAnsi="宋体" w:eastAsia="宋体"/>
          <w:i w:val="0"/>
          <w:sz w:val="21"/>
          <w:szCs w:val="28"/>
        </w:rPr>
      </w:pPr>
      <w:r>
        <w:fldChar w:fldCharType="begin"/>
      </w:r>
      <w:r>
        <w:instrText xml:space="preserve"> HYPERLINK \l "_Toc501407823" </w:instrText>
      </w:r>
      <w:r>
        <w:fldChar w:fldCharType="separate"/>
      </w:r>
      <w:r>
        <w:rPr>
          <w:rFonts w:hint="eastAsia" w:ascii="宋体" w:hAnsi="宋体" w:eastAsia="宋体"/>
          <w:i w:val="0"/>
          <w:sz w:val="21"/>
          <w:szCs w:val="28"/>
        </w:rPr>
        <w:t>（二）条件保障</w:t>
      </w:r>
      <w:r>
        <w:rPr>
          <w:rFonts w:ascii="宋体" w:hAnsi="宋体" w:eastAsia="宋体"/>
          <w:i w:val="0"/>
          <w:sz w:val="21"/>
          <w:szCs w:val="28"/>
        </w:rPr>
        <w:tab/>
      </w:r>
      <w:r>
        <w:rPr>
          <w:rFonts w:ascii="宋体" w:hAnsi="宋体" w:eastAsia="宋体"/>
          <w:i w:val="0"/>
          <w:sz w:val="21"/>
          <w:szCs w:val="28"/>
        </w:rPr>
        <w:fldChar w:fldCharType="begin"/>
      </w:r>
      <w:r>
        <w:rPr>
          <w:rFonts w:ascii="宋体" w:hAnsi="宋体" w:eastAsia="宋体"/>
          <w:i w:val="0"/>
          <w:sz w:val="21"/>
          <w:szCs w:val="28"/>
        </w:rPr>
        <w:instrText xml:space="preserve"> PAGEREF _Toc501407823 \h </w:instrText>
      </w:r>
      <w:r>
        <w:rPr>
          <w:rFonts w:ascii="宋体" w:hAnsi="宋体" w:eastAsia="宋体"/>
          <w:i w:val="0"/>
          <w:sz w:val="21"/>
          <w:szCs w:val="28"/>
        </w:rPr>
        <w:fldChar w:fldCharType="separate"/>
      </w:r>
      <w:r>
        <w:rPr>
          <w:rFonts w:ascii="宋体" w:hAnsi="宋体" w:eastAsia="宋体"/>
          <w:i w:val="0"/>
          <w:sz w:val="21"/>
          <w:szCs w:val="28"/>
        </w:rPr>
        <w:t>22</w:t>
      </w:r>
      <w:r>
        <w:rPr>
          <w:rFonts w:ascii="宋体" w:hAnsi="宋体" w:eastAsia="宋体"/>
          <w:i w:val="0"/>
          <w:sz w:val="21"/>
          <w:szCs w:val="28"/>
        </w:rPr>
        <w:fldChar w:fldCharType="end"/>
      </w:r>
      <w:r>
        <w:rPr>
          <w:rFonts w:ascii="宋体" w:hAnsi="宋体" w:eastAsia="宋体"/>
          <w:i w:val="0"/>
          <w:sz w:val="21"/>
          <w:szCs w:val="28"/>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"_Toc501407824" </w:instrText>
      </w:r>
      <w:r>
        <w:fldChar w:fldCharType="separate"/>
      </w:r>
      <w:r>
        <w:rPr>
          <w:rFonts w:ascii="宋体" w:hAnsi="宋体"/>
          <w:bCs/>
          <w:smallCaps w:val="0"/>
          <w:sz w:val="21"/>
          <w:szCs w:val="24"/>
        </w:rPr>
        <w:t>1</w:t>
      </w:r>
      <w:r>
        <w:rPr>
          <w:rFonts w:hint="eastAsia" w:ascii="宋体" w:hAnsi="宋体"/>
          <w:bCs/>
          <w:smallCaps w:val="0"/>
          <w:sz w:val="21"/>
          <w:szCs w:val="24"/>
        </w:rPr>
        <w:t>．建设多功能创业孵化平台</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_Toc501407824 \h </w:instrText>
      </w:r>
      <w:r>
        <w:rPr>
          <w:rFonts w:ascii="宋体" w:hAnsi="宋体" w:eastAsia="宋体"/>
          <w:bCs/>
          <w:smallCaps w:val="0"/>
          <w:sz w:val="21"/>
          <w:szCs w:val="24"/>
        </w:rPr>
        <w:fldChar w:fldCharType="separate"/>
      </w:r>
      <w:r>
        <w:rPr>
          <w:rFonts w:ascii="宋体" w:hAnsi="宋体" w:eastAsia="宋体"/>
          <w:bCs/>
          <w:smallCaps w:val="0"/>
          <w:sz w:val="21"/>
          <w:szCs w:val="24"/>
        </w:rPr>
        <w:t>22</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"_Toc501407825" </w:instrText>
      </w:r>
      <w:r>
        <w:fldChar w:fldCharType="separate"/>
      </w:r>
      <w:r>
        <w:rPr>
          <w:rFonts w:ascii="宋体" w:hAnsi="宋体"/>
          <w:bCs/>
          <w:smallCaps w:val="0"/>
          <w:sz w:val="21"/>
          <w:szCs w:val="24"/>
        </w:rPr>
        <w:t>2</w:t>
      </w:r>
      <w:r>
        <w:rPr>
          <w:rFonts w:hint="eastAsia" w:ascii="宋体" w:hAnsi="宋体"/>
          <w:bCs/>
          <w:smallCaps w:val="0"/>
          <w:sz w:val="21"/>
          <w:szCs w:val="24"/>
        </w:rPr>
        <w:t>．加大资金投入，加强资金保障</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_Toc501407825 \h </w:instrText>
      </w:r>
      <w:r>
        <w:rPr>
          <w:rFonts w:ascii="宋体" w:hAnsi="宋体" w:eastAsia="宋体"/>
          <w:bCs/>
          <w:smallCaps w:val="0"/>
          <w:sz w:val="21"/>
          <w:szCs w:val="24"/>
        </w:rPr>
        <w:fldChar w:fldCharType="separate"/>
      </w:r>
      <w:r>
        <w:rPr>
          <w:rFonts w:ascii="宋体" w:hAnsi="宋体" w:eastAsia="宋体"/>
          <w:bCs/>
          <w:smallCaps w:val="0"/>
          <w:sz w:val="21"/>
          <w:szCs w:val="24"/>
        </w:rPr>
        <w:t>23</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"_Toc501407826" </w:instrText>
      </w:r>
      <w:r>
        <w:fldChar w:fldCharType="separate"/>
      </w:r>
      <w:r>
        <w:rPr>
          <w:rFonts w:ascii="宋体" w:hAnsi="宋体"/>
          <w:bCs/>
          <w:smallCaps w:val="0"/>
          <w:sz w:val="21"/>
          <w:szCs w:val="24"/>
        </w:rPr>
        <w:t>3</w:t>
      </w:r>
      <w:r>
        <w:rPr>
          <w:rFonts w:hint="eastAsia" w:ascii="宋体" w:hAnsi="宋体"/>
          <w:bCs/>
          <w:smallCaps w:val="0"/>
          <w:sz w:val="21"/>
          <w:szCs w:val="24"/>
        </w:rPr>
        <w:t>．壮大导师队伍，提高指导能力</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_Toc501407826 \h </w:instrText>
      </w:r>
      <w:r>
        <w:rPr>
          <w:rFonts w:ascii="宋体" w:hAnsi="宋体" w:eastAsia="宋体"/>
          <w:bCs/>
          <w:smallCaps w:val="0"/>
          <w:sz w:val="21"/>
          <w:szCs w:val="24"/>
        </w:rPr>
        <w:fldChar w:fldCharType="separate"/>
      </w:r>
      <w:r>
        <w:rPr>
          <w:rFonts w:ascii="宋体" w:hAnsi="宋体" w:eastAsia="宋体"/>
          <w:bCs/>
          <w:smallCaps w:val="0"/>
          <w:sz w:val="21"/>
          <w:szCs w:val="24"/>
        </w:rPr>
        <w:t>23</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9"/>
        <w:tabs>
          <w:tab w:val="right" w:leader="dot" w:pos="8296"/>
        </w:tabs>
        <w:spacing w:before="80" w:after="80"/>
        <w:ind w:firstLine="300" w:firstLineChars="150"/>
        <w:rPr>
          <w:rFonts w:ascii="宋体" w:hAnsi="宋体" w:eastAsia="宋体"/>
          <w:i w:val="0"/>
          <w:sz w:val="21"/>
          <w:szCs w:val="28"/>
        </w:rPr>
      </w:pPr>
      <w:r>
        <w:fldChar w:fldCharType="begin"/>
      </w:r>
      <w:r>
        <w:instrText xml:space="preserve"> HYPERLINK \l "_Toc501407827" </w:instrText>
      </w:r>
      <w:r>
        <w:fldChar w:fldCharType="separate"/>
      </w:r>
      <w:r>
        <w:rPr>
          <w:rFonts w:hint="eastAsia" w:ascii="宋体" w:hAnsi="宋体" w:eastAsia="宋体"/>
          <w:i w:val="0"/>
          <w:sz w:val="21"/>
          <w:szCs w:val="28"/>
        </w:rPr>
        <w:t>（三）工作措施</w:t>
      </w:r>
      <w:r>
        <w:rPr>
          <w:rFonts w:ascii="宋体" w:hAnsi="宋体" w:eastAsia="宋体"/>
          <w:i w:val="0"/>
          <w:sz w:val="21"/>
          <w:szCs w:val="28"/>
        </w:rPr>
        <w:tab/>
      </w:r>
      <w:r>
        <w:rPr>
          <w:rFonts w:ascii="宋体" w:hAnsi="宋体" w:eastAsia="宋体"/>
          <w:i w:val="0"/>
          <w:sz w:val="21"/>
          <w:szCs w:val="28"/>
        </w:rPr>
        <w:fldChar w:fldCharType="begin"/>
      </w:r>
      <w:r>
        <w:rPr>
          <w:rFonts w:ascii="宋体" w:hAnsi="宋体" w:eastAsia="宋体"/>
          <w:i w:val="0"/>
          <w:sz w:val="21"/>
          <w:szCs w:val="28"/>
        </w:rPr>
        <w:instrText xml:space="preserve"> PAGEREF _Toc501407827 \h </w:instrText>
      </w:r>
      <w:r>
        <w:rPr>
          <w:rFonts w:ascii="宋体" w:hAnsi="宋体" w:eastAsia="宋体"/>
          <w:i w:val="0"/>
          <w:sz w:val="21"/>
          <w:szCs w:val="28"/>
        </w:rPr>
        <w:fldChar w:fldCharType="separate"/>
      </w:r>
      <w:r>
        <w:rPr>
          <w:rFonts w:ascii="宋体" w:hAnsi="宋体" w:eastAsia="宋体"/>
          <w:i w:val="0"/>
          <w:sz w:val="21"/>
          <w:szCs w:val="28"/>
        </w:rPr>
        <w:t>24</w:t>
      </w:r>
      <w:r>
        <w:rPr>
          <w:rFonts w:ascii="宋体" w:hAnsi="宋体" w:eastAsia="宋体"/>
          <w:i w:val="0"/>
          <w:sz w:val="21"/>
          <w:szCs w:val="28"/>
        </w:rPr>
        <w:fldChar w:fldCharType="end"/>
      </w:r>
      <w:r>
        <w:rPr>
          <w:rFonts w:ascii="宋体" w:hAnsi="宋体" w:eastAsia="宋体"/>
          <w:i w:val="0"/>
          <w:sz w:val="21"/>
          <w:szCs w:val="28"/>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"_Toc501407828" </w:instrText>
      </w:r>
      <w:r>
        <w:fldChar w:fldCharType="separate"/>
      </w:r>
      <w:r>
        <w:rPr>
          <w:rFonts w:ascii="宋体" w:hAnsi="宋体"/>
          <w:bCs/>
          <w:smallCaps w:val="0"/>
          <w:sz w:val="21"/>
          <w:szCs w:val="24"/>
        </w:rPr>
        <w:t>1</w:t>
      </w:r>
      <w:r>
        <w:rPr>
          <w:rFonts w:hint="eastAsia" w:ascii="宋体" w:hAnsi="宋体"/>
          <w:bCs/>
          <w:smallCaps w:val="0"/>
          <w:sz w:val="21"/>
          <w:szCs w:val="24"/>
        </w:rPr>
        <w:t>．构建“政、企、学、协”四方联动的创新创业生态圈</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_Toc501407828 \h </w:instrText>
      </w:r>
      <w:r>
        <w:rPr>
          <w:rFonts w:ascii="宋体" w:hAnsi="宋体" w:eastAsia="宋体"/>
          <w:bCs/>
          <w:smallCaps w:val="0"/>
          <w:sz w:val="21"/>
          <w:szCs w:val="24"/>
        </w:rPr>
        <w:fldChar w:fldCharType="separate"/>
      </w:r>
      <w:r>
        <w:rPr>
          <w:rFonts w:ascii="宋体" w:hAnsi="宋体" w:eastAsia="宋体"/>
          <w:bCs/>
          <w:smallCaps w:val="0"/>
          <w:sz w:val="21"/>
          <w:szCs w:val="24"/>
        </w:rPr>
        <w:t>24</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"_Toc501407829" </w:instrText>
      </w:r>
      <w:r>
        <w:fldChar w:fldCharType="separate"/>
      </w:r>
      <w:r>
        <w:rPr>
          <w:rFonts w:ascii="宋体" w:hAnsi="宋体"/>
          <w:bCs/>
          <w:smallCaps w:val="0"/>
          <w:sz w:val="21"/>
          <w:szCs w:val="24"/>
        </w:rPr>
        <w:t>2</w:t>
      </w:r>
      <w:r>
        <w:rPr>
          <w:rFonts w:hint="eastAsia" w:ascii="宋体" w:hAnsi="宋体"/>
          <w:bCs/>
          <w:smallCaps w:val="0"/>
          <w:sz w:val="21"/>
          <w:szCs w:val="24"/>
        </w:rPr>
        <w:t>．健全管理制度，完善配套办法</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_Toc501407829 \h </w:instrText>
      </w:r>
      <w:r>
        <w:rPr>
          <w:rFonts w:ascii="宋体" w:hAnsi="宋体" w:eastAsia="宋体"/>
          <w:bCs/>
          <w:smallCaps w:val="0"/>
          <w:sz w:val="21"/>
          <w:szCs w:val="24"/>
        </w:rPr>
        <w:fldChar w:fldCharType="separate"/>
      </w:r>
      <w:r>
        <w:rPr>
          <w:rFonts w:ascii="宋体" w:hAnsi="宋体" w:eastAsia="宋体"/>
          <w:bCs/>
          <w:smallCaps w:val="0"/>
          <w:sz w:val="21"/>
          <w:szCs w:val="24"/>
        </w:rPr>
        <w:t>24</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"_Toc501407830" </w:instrText>
      </w:r>
      <w:r>
        <w:fldChar w:fldCharType="separate"/>
      </w:r>
      <w:r>
        <w:rPr>
          <w:rFonts w:ascii="宋体" w:hAnsi="宋体"/>
          <w:bCs/>
          <w:smallCaps w:val="0"/>
          <w:sz w:val="21"/>
          <w:szCs w:val="24"/>
        </w:rPr>
        <w:t>3</w:t>
      </w:r>
      <w:r>
        <w:rPr>
          <w:rFonts w:hint="eastAsia" w:ascii="宋体" w:hAnsi="宋体"/>
          <w:bCs/>
          <w:smallCaps w:val="0"/>
          <w:sz w:val="21"/>
          <w:szCs w:val="24"/>
        </w:rPr>
        <w:t>．加强校企合作，助推项目孵化</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_Toc501407830 \h </w:instrText>
      </w:r>
      <w:r>
        <w:rPr>
          <w:rFonts w:ascii="宋体" w:hAnsi="宋体" w:eastAsia="宋体"/>
          <w:bCs/>
          <w:smallCaps w:val="0"/>
          <w:sz w:val="21"/>
          <w:szCs w:val="24"/>
        </w:rPr>
        <w:fldChar w:fldCharType="separate"/>
      </w:r>
      <w:r>
        <w:rPr>
          <w:rFonts w:ascii="宋体" w:hAnsi="宋体" w:eastAsia="宋体"/>
          <w:bCs/>
          <w:smallCaps w:val="0"/>
          <w:sz w:val="21"/>
          <w:szCs w:val="24"/>
        </w:rPr>
        <w:t>25</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"_Toc501407831" </w:instrText>
      </w:r>
      <w:r>
        <w:fldChar w:fldCharType="separate"/>
      </w:r>
      <w:r>
        <w:rPr>
          <w:rFonts w:ascii="宋体" w:hAnsi="宋体"/>
          <w:bCs/>
          <w:smallCaps w:val="0"/>
          <w:sz w:val="21"/>
          <w:szCs w:val="24"/>
        </w:rPr>
        <w:t>4</w:t>
      </w:r>
      <w:r>
        <w:rPr>
          <w:rFonts w:hint="eastAsia" w:ascii="宋体" w:hAnsi="宋体"/>
          <w:bCs/>
          <w:smallCaps w:val="0"/>
          <w:sz w:val="21"/>
          <w:szCs w:val="24"/>
        </w:rPr>
        <w:t>．引进</w:t>
      </w:r>
      <w:r>
        <w:rPr>
          <w:rFonts w:ascii="宋体" w:hAnsi="宋体"/>
          <w:bCs/>
          <w:smallCaps w:val="0"/>
          <w:sz w:val="21"/>
          <w:szCs w:val="24"/>
        </w:rPr>
        <w:t>SYB</w:t>
      </w:r>
      <w:r>
        <w:rPr>
          <w:rFonts w:hint="eastAsia" w:ascii="宋体" w:hAnsi="宋体"/>
          <w:bCs/>
          <w:smallCaps w:val="0"/>
          <w:sz w:val="21"/>
          <w:szCs w:val="24"/>
        </w:rPr>
        <w:t>培训，强化实战训练</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_Toc501407831 \h </w:instrText>
      </w:r>
      <w:r>
        <w:rPr>
          <w:rFonts w:ascii="宋体" w:hAnsi="宋体" w:eastAsia="宋体"/>
          <w:bCs/>
          <w:smallCaps w:val="0"/>
          <w:sz w:val="21"/>
          <w:szCs w:val="24"/>
        </w:rPr>
        <w:fldChar w:fldCharType="separate"/>
      </w:r>
      <w:r>
        <w:rPr>
          <w:rFonts w:ascii="宋体" w:hAnsi="宋体" w:eastAsia="宋体"/>
          <w:bCs/>
          <w:smallCaps w:val="0"/>
          <w:sz w:val="21"/>
          <w:szCs w:val="24"/>
        </w:rPr>
        <w:t>26</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"_Toc501407832" </w:instrText>
      </w:r>
      <w:r>
        <w:fldChar w:fldCharType="separate"/>
      </w:r>
      <w:r>
        <w:rPr>
          <w:rFonts w:ascii="宋体" w:hAnsi="宋体"/>
          <w:bCs/>
          <w:smallCaps w:val="0"/>
          <w:sz w:val="21"/>
          <w:szCs w:val="24"/>
        </w:rPr>
        <w:t>5</w:t>
      </w:r>
      <w:r>
        <w:rPr>
          <w:rFonts w:hint="eastAsia" w:ascii="宋体" w:hAnsi="宋体"/>
          <w:bCs/>
          <w:smallCaps w:val="0"/>
          <w:sz w:val="21"/>
          <w:szCs w:val="24"/>
        </w:rPr>
        <w:t>．探索孵化模式，推进市场化运营</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_Toc501407832 \h </w:instrText>
      </w:r>
      <w:r>
        <w:rPr>
          <w:rFonts w:ascii="宋体" w:hAnsi="宋体" w:eastAsia="宋体"/>
          <w:bCs/>
          <w:smallCaps w:val="0"/>
          <w:sz w:val="21"/>
          <w:szCs w:val="24"/>
        </w:rPr>
        <w:fldChar w:fldCharType="separate"/>
      </w:r>
      <w:r>
        <w:rPr>
          <w:rFonts w:ascii="宋体" w:hAnsi="宋体" w:eastAsia="宋体"/>
          <w:bCs/>
          <w:smallCaps w:val="0"/>
          <w:sz w:val="21"/>
          <w:szCs w:val="24"/>
        </w:rPr>
        <w:t>26</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"_Toc501407833" </w:instrText>
      </w:r>
      <w:r>
        <w:fldChar w:fldCharType="separate"/>
      </w:r>
      <w:r>
        <w:rPr>
          <w:rFonts w:ascii="宋体" w:hAnsi="宋体"/>
          <w:bCs/>
          <w:smallCaps w:val="0"/>
          <w:sz w:val="21"/>
          <w:szCs w:val="24"/>
        </w:rPr>
        <w:t>6</w:t>
      </w:r>
      <w:r>
        <w:rPr>
          <w:rFonts w:hint="eastAsia" w:ascii="宋体" w:hAnsi="宋体"/>
          <w:bCs/>
          <w:smallCaps w:val="0"/>
          <w:sz w:val="21"/>
          <w:szCs w:val="24"/>
        </w:rPr>
        <w:t>．加强舆论宣传，营造创业氛围</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_Toc501407833 \h </w:instrText>
      </w:r>
      <w:r>
        <w:rPr>
          <w:rFonts w:ascii="宋体" w:hAnsi="宋体" w:eastAsia="宋体"/>
          <w:bCs/>
          <w:smallCaps w:val="0"/>
          <w:sz w:val="21"/>
          <w:szCs w:val="24"/>
        </w:rPr>
        <w:fldChar w:fldCharType="separate"/>
      </w:r>
      <w:r>
        <w:rPr>
          <w:rFonts w:ascii="宋体" w:hAnsi="宋体" w:eastAsia="宋体"/>
          <w:bCs/>
          <w:smallCaps w:val="0"/>
          <w:sz w:val="21"/>
          <w:szCs w:val="24"/>
        </w:rPr>
        <w:t>26</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9"/>
        <w:tabs>
          <w:tab w:val="right" w:leader="dot" w:pos="8296"/>
        </w:tabs>
        <w:spacing w:before="80" w:after="80"/>
        <w:ind w:firstLine="300" w:firstLineChars="150"/>
        <w:rPr>
          <w:rFonts w:ascii="宋体" w:hAnsi="宋体" w:eastAsia="宋体"/>
          <w:i w:val="0"/>
          <w:sz w:val="21"/>
          <w:szCs w:val="28"/>
        </w:rPr>
      </w:pPr>
      <w:r>
        <w:fldChar w:fldCharType="begin"/>
      </w:r>
      <w:r>
        <w:instrText xml:space="preserve"> HYPERLINK \l "_Toc501407834" </w:instrText>
      </w:r>
      <w:r>
        <w:fldChar w:fldCharType="separate"/>
      </w:r>
      <w:r>
        <w:rPr>
          <w:rFonts w:hint="eastAsia" w:ascii="宋体" w:hAnsi="宋体" w:eastAsia="宋体"/>
          <w:i w:val="0"/>
          <w:sz w:val="21"/>
          <w:szCs w:val="28"/>
        </w:rPr>
        <w:t>（四）工作成效</w:t>
      </w:r>
      <w:r>
        <w:rPr>
          <w:rFonts w:ascii="宋体" w:hAnsi="宋体" w:eastAsia="宋体"/>
          <w:i w:val="0"/>
          <w:sz w:val="21"/>
          <w:szCs w:val="28"/>
        </w:rPr>
        <w:tab/>
      </w:r>
      <w:r>
        <w:rPr>
          <w:rFonts w:ascii="宋体" w:hAnsi="宋体" w:eastAsia="宋体"/>
          <w:i w:val="0"/>
          <w:sz w:val="21"/>
          <w:szCs w:val="28"/>
        </w:rPr>
        <w:fldChar w:fldCharType="begin"/>
      </w:r>
      <w:r>
        <w:rPr>
          <w:rFonts w:ascii="宋体" w:hAnsi="宋体" w:eastAsia="宋体"/>
          <w:i w:val="0"/>
          <w:sz w:val="21"/>
          <w:szCs w:val="28"/>
        </w:rPr>
        <w:instrText xml:space="preserve"> PAGEREF _Toc501407834 \h </w:instrText>
      </w:r>
      <w:r>
        <w:rPr>
          <w:rFonts w:ascii="宋体" w:hAnsi="宋体" w:eastAsia="宋体"/>
          <w:i w:val="0"/>
          <w:sz w:val="21"/>
          <w:szCs w:val="28"/>
        </w:rPr>
        <w:fldChar w:fldCharType="separate"/>
      </w:r>
      <w:r>
        <w:rPr>
          <w:rFonts w:ascii="宋体" w:hAnsi="宋体" w:eastAsia="宋体"/>
          <w:i w:val="0"/>
          <w:sz w:val="21"/>
          <w:szCs w:val="28"/>
        </w:rPr>
        <w:t>27</w:t>
      </w:r>
      <w:r>
        <w:rPr>
          <w:rFonts w:ascii="宋体" w:hAnsi="宋体" w:eastAsia="宋体"/>
          <w:i w:val="0"/>
          <w:sz w:val="21"/>
          <w:szCs w:val="28"/>
        </w:rPr>
        <w:fldChar w:fldCharType="end"/>
      </w:r>
      <w:r>
        <w:rPr>
          <w:rFonts w:ascii="宋体" w:hAnsi="宋体" w:eastAsia="宋体"/>
          <w:i w:val="0"/>
          <w:sz w:val="21"/>
          <w:szCs w:val="28"/>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"_Toc501407835" </w:instrText>
      </w:r>
      <w:r>
        <w:fldChar w:fldCharType="separate"/>
      </w:r>
      <w:r>
        <w:rPr>
          <w:rFonts w:ascii="宋体" w:hAnsi="宋体"/>
          <w:bCs/>
          <w:smallCaps w:val="0"/>
          <w:sz w:val="21"/>
          <w:szCs w:val="24"/>
        </w:rPr>
        <w:t>1</w:t>
      </w:r>
      <w:r>
        <w:rPr>
          <w:rFonts w:hint="eastAsia" w:ascii="宋体" w:hAnsi="宋体"/>
          <w:bCs/>
          <w:smallCaps w:val="0"/>
          <w:sz w:val="21"/>
          <w:szCs w:val="24"/>
        </w:rPr>
        <w:t>．“以赛促创”，掀起双创浪潮</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_Toc501407835 \h </w:instrText>
      </w:r>
      <w:r>
        <w:rPr>
          <w:rFonts w:ascii="宋体" w:hAnsi="宋体" w:eastAsia="宋体"/>
          <w:bCs/>
          <w:smallCaps w:val="0"/>
          <w:sz w:val="21"/>
          <w:szCs w:val="24"/>
        </w:rPr>
        <w:fldChar w:fldCharType="separate"/>
      </w:r>
      <w:r>
        <w:rPr>
          <w:rFonts w:ascii="宋体" w:hAnsi="宋体" w:eastAsia="宋体"/>
          <w:bCs/>
          <w:smallCaps w:val="0"/>
          <w:sz w:val="21"/>
          <w:szCs w:val="24"/>
        </w:rPr>
        <w:t>27</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"_Toc501407836" </w:instrText>
      </w:r>
      <w:r>
        <w:fldChar w:fldCharType="separate"/>
      </w:r>
      <w:r>
        <w:rPr>
          <w:rFonts w:ascii="宋体" w:hAnsi="宋体"/>
          <w:bCs/>
          <w:smallCaps w:val="0"/>
          <w:sz w:val="21"/>
          <w:szCs w:val="24"/>
        </w:rPr>
        <w:t>2</w:t>
      </w:r>
      <w:r>
        <w:rPr>
          <w:rFonts w:hint="eastAsia" w:ascii="宋体" w:hAnsi="宋体"/>
          <w:bCs/>
          <w:smallCaps w:val="0"/>
          <w:sz w:val="21"/>
          <w:szCs w:val="24"/>
        </w:rPr>
        <w:t>．围绕专业优势多样化创业</w:t>
      </w:r>
      <w:r>
        <w:rPr>
          <w:rFonts w:ascii="宋体" w:hAnsi="宋体"/>
          <w:bCs/>
          <w:smallCaps w:val="0"/>
          <w:sz w:val="21"/>
          <w:szCs w:val="24"/>
        </w:rPr>
        <w:t>,</w:t>
      </w:r>
      <w:r>
        <w:rPr>
          <w:rFonts w:hint="eastAsia" w:ascii="宋体" w:hAnsi="宋体"/>
          <w:bCs/>
          <w:smallCaps w:val="0"/>
          <w:sz w:val="21"/>
          <w:szCs w:val="24"/>
        </w:rPr>
        <w:t>服务区域经济</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_Toc501407836 \h </w:instrText>
      </w:r>
      <w:r>
        <w:rPr>
          <w:rFonts w:ascii="宋体" w:hAnsi="宋体" w:eastAsia="宋体"/>
          <w:bCs/>
          <w:smallCaps w:val="0"/>
          <w:sz w:val="21"/>
          <w:szCs w:val="24"/>
        </w:rPr>
        <w:fldChar w:fldCharType="separate"/>
      </w:r>
      <w:r>
        <w:rPr>
          <w:rFonts w:ascii="宋体" w:hAnsi="宋体" w:eastAsia="宋体"/>
          <w:bCs/>
          <w:smallCaps w:val="0"/>
          <w:sz w:val="21"/>
          <w:szCs w:val="24"/>
        </w:rPr>
        <w:t>28</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"_Toc501407837" </w:instrText>
      </w:r>
      <w:r>
        <w:fldChar w:fldCharType="separate"/>
      </w:r>
      <w:r>
        <w:rPr>
          <w:rFonts w:ascii="宋体" w:hAnsi="宋体"/>
          <w:bCs/>
          <w:smallCaps w:val="0"/>
          <w:sz w:val="21"/>
          <w:szCs w:val="24"/>
        </w:rPr>
        <w:t>3</w:t>
      </w:r>
      <w:r>
        <w:rPr>
          <w:rFonts w:hint="eastAsia" w:ascii="宋体" w:hAnsi="宋体"/>
          <w:bCs/>
          <w:smallCaps w:val="0"/>
          <w:sz w:val="21"/>
          <w:szCs w:val="24"/>
        </w:rPr>
        <w:t>．创业典型：走文化创意产业领域内的科技创新之路</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_Toc501407837 \h </w:instrText>
      </w:r>
      <w:r>
        <w:rPr>
          <w:rFonts w:ascii="宋体" w:hAnsi="宋体" w:eastAsia="宋体"/>
          <w:bCs/>
          <w:smallCaps w:val="0"/>
          <w:sz w:val="21"/>
          <w:szCs w:val="24"/>
        </w:rPr>
        <w:fldChar w:fldCharType="separate"/>
      </w:r>
      <w:r>
        <w:rPr>
          <w:rFonts w:ascii="宋体" w:hAnsi="宋体" w:eastAsia="宋体"/>
          <w:bCs/>
          <w:smallCaps w:val="0"/>
          <w:sz w:val="21"/>
          <w:szCs w:val="24"/>
        </w:rPr>
        <w:t>28</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100" w:after="100"/>
        <w:ind w:firstLine="200" w:firstLineChars="100"/>
        <w:rPr>
          <w:rFonts w:ascii="宋体" w:hAnsi="宋体" w:eastAsia="宋体" w:cs="Times New Roman"/>
          <w:smallCaps w:val="0"/>
          <w:sz w:val="21"/>
        </w:rPr>
      </w:pPr>
      <w:r>
        <w:fldChar w:fldCharType="begin"/>
      </w:r>
      <w:r>
        <w:instrText xml:space="preserve"> HYPERLINK \l "_Toc501407838" </w:instrText>
      </w:r>
      <w:r>
        <w:fldChar w:fldCharType="separate"/>
      </w:r>
      <w:r>
        <w:rPr>
          <w:rFonts w:hint="eastAsia" w:ascii="宋体" w:hAnsi="宋体" w:eastAsia="宋体"/>
          <w:smallCaps w:val="0"/>
          <w:sz w:val="21"/>
        </w:rPr>
        <w:t>三、就业指导服务情况</w:t>
      </w:r>
      <w:r>
        <w:rPr>
          <w:rFonts w:ascii="宋体" w:hAnsi="宋体" w:eastAsia="宋体" w:cs="Times New Roman"/>
          <w:smallCaps w:val="0"/>
          <w:sz w:val="21"/>
        </w:rPr>
        <w:tab/>
      </w:r>
      <w:r>
        <w:rPr>
          <w:rFonts w:ascii="宋体" w:hAnsi="宋体" w:eastAsia="宋体" w:cs="Times New Roman"/>
          <w:smallCaps w:val="0"/>
          <w:sz w:val="21"/>
        </w:rPr>
        <w:fldChar w:fldCharType="begin"/>
      </w:r>
      <w:r>
        <w:rPr>
          <w:rFonts w:ascii="宋体" w:hAnsi="宋体" w:eastAsia="宋体" w:cs="Times New Roman"/>
          <w:smallCaps w:val="0"/>
          <w:sz w:val="21"/>
        </w:rPr>
        <w:instrText xml:space="preserve"> PAGEREF _Toc501407838 \h </w:instrText>
      </w:r>
      <w:r>
        <w:rPr>
          <w:rFonts w:ascii="宋体" w:hAnsi="宋体" w:eastAsia="宋体" w:cs="Times New Roman"/>
          <w:smallCaps w:val="0"/>
          <w:sz w:val="21"/>
        </w:rPr>
        <w:fldChar w:fldCharType="separate"/>
      </w:r>
      <w:r>
        <w:rPr>
          <w:rFonts w:ascii="宋体" w:hAnsi="宋体" w:eastAsia="宋体" w:cs="Times New Roman"/>
          <w:smallCaps w:val="0"/>
          <w:sz w:val="21"/>
        </w:rPr>
        <w:t>29</w:t>
      </w:r>
      <w:r>
        <w:rPr>
          <w:rFonts w:ascii="宋体" w:hAnsi="宋体" w:eastAsia="宋体" w:cs="Times New Roman"/>
          <w:smallCaps w:val="0"/>
          <w:sz w:val="21"/>
        </w:rPr>
        <w:fldChar w:fldCharType="end"/>
      </w:r>
      <w:r>
        <w:rPr>
          <w:rFonts w:ascii="宋体" w:hAnsi="宋体" w:eastAsia="宋体" w:cs="Times New Roman"/>
          <w:smallCaps w:val="0"/>
          <w:sz w:val="21"/>
        </w:rPr>
        <w:fldChar w:fldCharType="end"/>
      </w:r>
    </w:p>
    <w:p>
      <w:pPr>
        <w:pStyle w:val="9"/>
        <w:tabs>
          <w:tab w:val="right" w:leader="dot" w:pos="8296"/>
        </w:tabs>
        <w:spacing w:before="80" w:after="80"/>
        <w:ind w:firstLine="300" w:firstLineChars="150"/>
        <w:rPr>
          <w:rFonts w:ascii="宋体" w:hAnsi="宋体" w:eastAsia="宋体"/>
          <w:i w:val="0"/>
          <w:sz w:val="21"/>
          <w:szCs w:val="28"/>
        </w:rPr>
      </w:pPr>
      <w:r>
        <w:fldChar w:fldCharType="begin"/>
      </w:r>
      <w:r>
        <w:instrText xml:space="preserve"> HYPERLINK \l "_Toc501407839" </w:instrText>
      </w:r>
      <w:r>
        <w:fldChar w:fldCharType="separate"/>
      </w:r>
      <w:r>
        <w:rPr>
          <w:rFonts w:hint="eastAsia" w:ascii="宋体" w:hAnsi="宋体" w:eastAsia="宋体"/>
          <w:i w:val="0"/>
          <w:sz w:val="21"/>
          <w:szCs w:val="28"/>
        </w:rPr>
        <w:t>（一）毕业生对学校职业指导与就业服务工作的评价</w:t>
      </w:r>
      <w:r>
        <w:rPr>
          <w:rFonts w:ascii="宋体" w:hAnsi="宋体" w:eastAsia="宋体"/>
          <w:i w:val="0"/>
          <w:sz w:val="21"/>
          <w:szCs w:val="28"/>
        </w:rPr>
        <w:tab/>
      </w:r>
      <w:r>
        <w:rPr>
          <w:rFonts w:ascii="宋体" w:hAnsi="宋体" w:eastAsia="宋体"/>
          <w:i w:val="0"/>
          <w:sz w:val="21"/>
          <w:szCs w:val="28"/>
        </w:rPr>
        <w:fldChar w:fldCharType="begin"/>
      </w:r>
      <w:r>
        <w:rPr>
          <w:rFonts w:ascii="宋体" w:hAnsi="宋体" w:eastAsia="宋体"/>
          <w:i w:val="0"/>
          <w:sz w:val="21"/>
          <w:szCs w:val="28"/>
        </w:rPr>
        <w:instrText xml:space="preserve"> PAGEREF _Toc501407839 \h </w:instrText>
      </w:r>
      <w:r>
        <w:rPr>
          <w:rFonts w:ascii="宋体" w:hAnsi="宋体" w:eastAsia="宋体"/>
          <w:i w:val="0"/>
          <w:sz w:val="21"/>
          <w:szCs w:val="28"/>
        </w:rPr>
        <w:fldChar w:fldCharType="separate"/>
      </w:r>
      <w:r>
        <w:rPr>
          <w:rFonts w:ascii="宋体" w:hAnsi="宋体" w:eastAsia="宋体"/>
          <w:i w:val="0"/>
          <w:sz w:val="21"/>
          <w:szCs w:val="28"/>
        </w:rPr>
        <w:t>29</w:t>
      </w:r>
      <w:r>
        <w:rPr>
          <w:rFonts w:ascii="宋体" w:hAnsi="宋体" w:eastAsia="宋体"/>
          <w:i w:val="0"/>
          <w:sz w:val="21"/>
          <w:szCs w:val="28"/>
        </w:rPr>
        <w:fldChar w:fldCharType="end"/>
      </w:r>
      <w:r>
        <w:rPr>
          <w:rFonts w:ascii="宋体" w:hAnsi="宋体" w:eastAsia="宋体"/>
          <w:i w:val="0"/>
          <w:sz w:val="21"/>
          <w:szCs w:val="28"/>
        </w:rPr>
        <w:fldChar w:fldCharType="end"/>
      </w:r>
    </w:p>
    <w:p>
      <w:pPr>
        <w:pStyle w:val="9"/>
        <w:tabs>
          <w:tab w:val="right" w:leader="dot" w:pos="8296"/>
        </w:tabs>
        <w:spacing w:before="80" w:after="80"/>
        <w:ind w:firstLine="300" w:firstLineChars="150"/>
        <w:rPr>
          <w:rFonts w:ascii="宋体" w:hAnsi="宋体" w:eastAsia="宋体"/>
          <w:i w:val="0"/>
          <w:sz w:val="21"/>
          <w:szCs w:val="28"/>
        </w:rPr>
      </w:pPr>
      <w:r>
        <w:fldChar w:fldCharType="begin"/>
      </w:r>
      <w:r>
        <w:instrText xml:space="preserve"> HYPERLINK \l "_Toc501407840" </w:instrText>
      </w:r>
      <w:r>
        <w:fldChar w:fldCharType="separate"/>
      </w:r>
      <w:r>
        <w:rPr>
          <w:rFonts w:hint="eastAsia" w:ascii="宋体" w:hAnsi="宋体" w:eastAsia="宋体"/>
          <w:i w:val="0"/>
          <w:sz w:val="21"/>
          <w:szCs w:val="28"/>
        </w:rPr>
        <w:t>（二）毕业生对所在学院职业指导与就业服务工作的评价</w:t>
      </w:r>
      <w:r>
        <w:rPr>
          <w:rFonts w:ascii="宋体" w:hAnsi="宋体" w:eastAsia="宋体"/>
          <w:i w:val="0"/>
          <w:sz w:val="21"/>
          <w:szCs w:val="28"/>
        </w:rPr>
        <w:tab/>
      </w:r>
      <w:r>
        <w:rPr>
          <w:rFonts w:ascii="宋体" w:hAnsi="宋体" w:eastAsia="宋体"/>
          <w:i w:val="0"/>
          <w:sz w:val="21"/>
          <w:szCs w:val="28"/>
        </w:rPr>
        <w:fldChar w:fldCharType="begin"/>
      </w:r>
      <w:r>
        <w:rPr>
          <w:rFonts w:ascii="宋体" w:hAnsi="宋体" w:eastAsia="宋体"/>
          <w:i w:val="0"/>
          <w:sz w:val="21"/>
          <w:szCs w:val="28"/>
        </w:rPr>
        <w:instrText xml:space="preserve"> PAGEREF _Toc501407840 \h </w:instrText>
      </w:r>
      <w:r>
        <w:rPr>
          <w:rFonts w:ascii="宋体" w:hAnsi="宋体" w:eastAsia="宋体"/>
          <w:i w:val="0"/>
          <w:sz w:val="21"/>
          <w:szCs w:val="28"/>
        </w:rPr>
        <w:fldChar w:fldCharType="separate"/>
      </w:r>
      <w:r>
        <w:rPr>
          <w:rFonts w:ascii="宋体" w:hAnsi="宋体" w:eastAsia="宋体"/>
          <w:i w:val="0"/>
          <w:sz w:val="21"/>
          <w:szCs w:val="28"/>
        </w:rPr>
        <w:t>30</w:t>
      </w:r>
      <w:r>
        <w:rPr>
          <w:rFonts w:ascii="宋体" w:hAnsi="宋体" w:eastAsia="宋体"/>
          <w:i w:val="0"/>
          <w:sz w:val="21"/>
          <w:szCs w:val="28"/>
        </w:rPr>
        <w:fldChar w:fldCharType="end"/>
      </w:r>
      <w:r>
        <w:rPr>
          <w:rFonts w:ascii="宋体" w:hAnsi="宋体" w:eastAsia="宋体"/>
          <w:i w:val="0"/>
          <w:sz w:val="21"/>
          <w:szCs w:val="28"/>
        </w:rPr>
        <w:fldChar w:fldCharType="end"/>
      </w:r>
    </w:p>
    <w:p>
      <w:pPr>
        <w:pStyle w:val="9"/>
        <w:tabs>
          <w:tab w:val="right" w:leader="dot" w:pos="8296"/>
        </w:tabs>
        <w:spacing w:before="80" w:after="80"/>
        <w:ind w:firstLine="300" w:firstLineChars="150"/>
        <w:rPr>
          <w:rFonts w:ascii="宋体" w:hAnsi="宋体" w:eastAsia="宋体"/>
          <w:i w:val="0"/>
          <w:sz w:val="21"/>
          <w:szCs w:val="28"/>
        </w:rPr>
      </w:pPr>
      <w:r>
        <w:fldChar w:fldCharType="begin"/>
      </w:r>
      <w:r>
        <w:instrText xml:space="preserve"> HYPERLINK \l "_Toc501407841" </w:instrText>
      </w:r>
      <w:r>
        <w:fldChar w:fldCharType="separate"/>
      </w:r>
      <w:r>
        <w:rPr>
          <w:rFonts w:hint="eastAsia" w:ascii="宋体" w:hAnsi="宋体" w:eastAsia="宋体"/>
          <w:i w:val="0"/>
          <w:sz w:val="21"/>
          <w:szCs w:val="28"/>
        </w:rPr>
        <w:t>（三）用人单位对学校就业工作评价</w:t>
      </w:r>
      <w:r>
        <w:rPr>
          <w:rFonts w:ascii="宋体" w:hAnsi="宋体" w:eastAsia="宋体"/>
          <w:i w:val="0"/>
          <w:sz w:val="21"/>
          <w:szCs w:val="28"/>
        </w:rPr>
        <w:tab/>
      </w:r>
      <w:r>
        <w:rPr>
          <w:rFonts w:ascii="宋体" w:hAnsi="宋体" w:eastAsia="宋体"/>
          <w:i w:val="0"/>
          <w:sz w:val="21"/>
          <w:szCs w:val="28"/>
        </w:rPr>
        <w:fldChar w:fldCharType="begin"/>
      </w:r>
      <w:r>
        <w:rPr>
          <w:rFonts w:ascii="宋体" w:hAnsi="宋体" w:eastAsia="宋体"/>
          <w:i w:val="0"/>
          <w:sz w:val="21"/>
          <w:szCs w:val="28"/>
        </w:rPr>
        <w:instrText xml:space="preserve"> PAGEREF _Toc501407841 \h </w:instrText>
      </w:r>
      <w:r>
        <w:rPr>
          <w:rFonts w:ascii="宋体" w:hAnsi="宋体" w:eastAsia="宋体"/>
          <w:i w:val="0"/>
          <w:sz w:val="21"/>
          <w:szCs w:val="28"/>
        </w:rPr>
        <w:fldChar w:fldCharType="separate"/>
      </w:r>
      <w:r>
        <w:rPr>
          <w:rFonts w:ascii="宋体" w:hAnsi="宋体" w:eastAsia="宋体"/>
          <w:i w:val="0"/>
          <w:sz w:val="21"/>
          <w:szCs w:val="28"/>
        </w:rPr>
        <w:t>31</w:t>
      </w:r>
      <w:r>
        <w:rPr>
          <w:rFonts w:ascii="宋体" w:hAnsi="宋体" w:eastAsia="宋体"/>
          <w:i w:val="0"/>
          <w:sz w:val="21"/>
          <w:szCs w:val="28"/>
        </w:rPr>
        <w:fldChar w:fldCharType="end"/>
      </w:r>
      <w:r>
        <w:rPr>
          <w:rFonts w:ascii="宋体" w:hAnsi="宋体" w:eastAsia="宋体"/>
          <w:i w:val="0"/>
          <w:sz w:val="21"/>
          <w:szCs w:val="28"/>
        </w:rPr>
        <w:fldChar w:fldCharType="end"/>
      </w:r>
    </w:p>
    <w:p>
      <w:pPr>
        <w:pStyle w:val="14"/>
        <w:tabs>
          <w:tab w:val="right" w:leader="dot" w:pos="8306"/>
          <w:tab w:val="clear" w:pos="8777"/>
        </w:tabs>
        <w:rPr>
          <w:rFonts w:ascii="宋体" w:hAnsi="宋体" w:eastAsia="宋体" w:cs="Times New Roman"/>
          <w:b w:val="0"/>
          <w:caps w:val="0"/>
          <w:sz w:val="21"/>
        </w:rPr>
      </w:pPr>
      <w:r>
        <w:fldChar w:fldCharType="begin"/>
      </w:r>
      <w:r>
        <w:instrText xml:space="preserve"> HYPERLINK \l "_Toc501407842" </w:instrText>
      </w:r>
      <w:r>
        <w:fldChar w:fldCharType="separate"/>
      </w:r>
      <w:r>
        <w:rPr>
          <w:rFonts w:hint="eastAsia" w:ascii="宋体" w:hAnsi="宋体" w:eastAsia="宋体"/>
          <w:b w:val="0"/>
          <w:caps w:val="0"/>
          <w:sz w:val="21"/>
        </w:rPr>
        <w:t>第三章</w:t>
      </w:r>
      <w:r>
        <w:rPr>
          <w:rFonts w:ascii="宋体" w:hAnsi="宋体" w:eastAsia="宋体"/>
          <w:b w:val="0"/>
          <w:caps w:val="0"/>
          <w:sz w:val="21"/>
        </w:rPr>
        <w:t xml:space="preserve"> </w:t>
      </w:r>
      <w:r>
        <w:rPr>
          <w:rFonts w:hint="eastAsia" w:ascii="宋体" w:hAnsi="宋体" w:eastAsia="宋体"/>
          <w:b w:val="0"/>
          <w:caps w:val="0"/>
          <w:sz w:val="21"/>
        </w:rPr>
        <w:t>抽样调查毕业生专业培养和就业情况满意度</w:t>
      </w:r>
      <w:r>
        <w:rPr>
          <w:rFonts w:ascii="宋体" w:hAnsi="宋体" w:eastAsia="宋体" w:cs="Times New Roman"/>
          <w:b w:val="0"/>
          <w:caps w:val="0"/>
          <w:sz w:val="21"/>
        </w:rPr>
        <w:tab/>
      </w:r>
      <w:r>
        <w:rPr>
          <w:rFonts w:ascii="宋体" w:hAnsi="宋体" w:eastAsia="宋体" w:cs="Times New Roman"/>
          <w:b w:val="0"/>
          <w:caps w:val="0"/>
          <w:sz w:val="21"/>
        </w:rPr>
        <w:fldChar w:fldCharType="begin"/>
      </w:r>
      <w:r>
        <w:rPr>
          <w:rFonts w:ascii="宋体" w:hAnsi="宋体" w:eastAsia="宋体" w:cs="Times New Roman"/>
          <w:b w:val="0"/>
          <w:caps w:val="0"/>
          <w:sz w:val="21"/>
        </w:rPr>
        <w:instrText xml:space="preserve"> PAGEREF _Toc501407842 \h </w:instrText>
      </w:r>
      <w:r>
        <w:rPr>
          <w:rFonts w:ascii="宋体" w:hAnsi="宋体" w:eastAsia="宋体" w:cs="Times New Roman"/>
          <w:b w:val="0"/>
          <w:caps w:val="0"/>
          <w:sz w:val="21"/>
        </w:rPr>
        <w:fldChar w:fldCharType="separate"/>
      </w:r>
      <w:r>
        <w:rPr>
          <w:rFonts w:ascii="宋体" w:hAnsi="宋体" w:eastAsia="宋体" w:cs="Times New Roman"/>
          <w:b w:val="0"/>
          <w:caps w:val="0"/>
          <w:sz w:val="21"/>
        </w:rPr>
        <w:t>33</w:t>
      </w:r>
      <w:r>
        <w:rPr>
          <w:rFonts w:ascii="宋体" w:hAnsi="宋体" w:eastAsia="宋体" w:cs="Times New Roman"/>
          <w:b w:val="0"/>
          <w:caps w:val="0"/>
          <w:sz w:val="21"/>
        </w:rPr>
        <w:fldChar w:fldCharType="end"/>
      </w:r>
      <w:r>
        <w:rPr>
          <w:rFonts w:ascii="宋体" w:hAnsi="宋体" w:eastAsia="宋体" w:cs="Times New Roman"/>
          <w:b w:val="0"/>
          <w:caps w:val="0"/>
          <w:sz w:val="21"/>
        </w:rPr>
        <w:fldChar w:fldCharType="end"/>
      </w:r>
    </w:p>
    <w:p>
      <w:pPr>
        <w:pStyle w:val="19"/>
        <w:tabs>
          <w:tab w:val="right" w:leader="dot" w:pos="8296"/>
        </w:tabs>
        <w:spacing w:before="100" w:after="100"/>
        <w:ind w:firstLine="200" w:firstLineChars="100"/>
        <w:rPr>
          <w:rFonts w:ascii="宋体" w:hAnsi="宋体" w:eastAsia="宋体" w:cs="Times New Roman"/>
          <w:smallCaps w:val="0"/>
          <w:sz w:val="21"/>
        </w:rPr>
      </w:pPr>
      <w:r>
        <w:fldChar w:fldCharType="begin"/>
      </w:r>
      <w:r>
        <w:instrText xml:space="preserve"> HYPERLINK \l "_Toc501407843" </w:instrText>
      </w:r>
      <w:r>
        <w:fldChar w:fldCharType="separate"/>
      </w:r>
      <w:r>
        <w:rPr>
          <w:rFonts w:hint="eastAsia" w:ascii="宋体" w:hAnsi="宋体" w:eastAsia="宋体"/>
          <w:smallCaps w:val="0"/>
          <w:sz w:val="21"/>
        </w:rPr>
        <w:t>一、抽样调查的</w:t>
      </w:r>
      <w:r>
        <w:rPr>
          <w:rFonts w:ascii="宋体" w:hAnsi="宋体" w:eastAsia="宋体"/>
          <w:smallCaps w:val="0"/>
          <w:sz w:val="21"/>
        </w:rPr>
        <w:t>2017</w:t>
      </w:r>
      <w:r>
        <w:rPr>
          <w:rFonts w:hint="eastAsia" w:ascii="宋体" w:hAnsi="宋体" w:eastAsia="宋体"/>
          <w:smallCaps w:val="0"/>
          <w:sz w:val="21"/>
        </w:rPr>
        <w:t>届毕业生基本情况</w:t>
      </w:r>
      <w:r>
        <w:rPr>
          <w:rFonts w:ascii="宋体" w:hAnsi="宋体" w:eastAsia="宋体" w:cs="Times New Roman"/>
          <w:smallCaps w:val="0"/>
          <w:sz w:val="21"/>
        </w:rPr>
        <w:tab/>
      </w:r>
      <w:r>
        <w:rPr>
          <w:rFonts w:ascii="宋体" w:hAnsi="宋体" w:eastAsia="宋体" w:cs="Times New Roman"/>
          <w:smallCaps w:val="0"/>
          <w:sz w:val="21"/>
        </w:rPr>
        <w:fldChar w:fldCharType="begin"/>
      </w:r>
      <w:r>
        <w:rPr>
          <w:rFonts w:ascii="宋体" w:hAnsi="宋体" w:eastAsia="宋体" w:cs="Times New Roman"/>
          <w:smallCaps w:val="0"/>
          <w:sz w:val="21"/>
        </w:rPr>
        <w:instrText xml:space="preserve"> PAGEREF _Toc501407843 \h </w:instrText>
      </w:r>
      <w:r>
        <w:rPr>
          <w:rFonts w:ascii="宋体" w:hAnsi="宋体" w:eastAsia="宋体" w:cs="Times New Roman"/>
          <w:smallCaps w:val="0"/>
          <w:sz w:val="21"/>
        </w:rPr>
        <w:fldChar w:fldCharType="separate"/>
      </w:r>
      <w:r>
        <w:rPr>
          <w:rFonts w:ascii="宋体" w:hAnsi="宋体" w:eastAsia="宋体" w:cs="Times New Roman"/>
          <w:smallCaps w:val="0"/>
          <w:sz w:val="21"/>
        </w:rPr>
        <w:t>33</w:t>
      </w:r>
      <w:r>
        <w:rPr>
          <w:rFonts w:ascii="宋体" w:hAnsi="宋体" w:eastAsia="宋体" w:cs="Times New Roman"/>
          <w:smallCaps w:val="0"/>
          <w:sz w:val="21"/>
        </w:rPr>
        <w:fldChar w:fldCharType="end"/>
      </w:r>
      <w:r>
        <w:rPr>
          <w:rFonts w:ascii="宋体" w:hAnsi="宋体" w:eastAsia="宋体" w:cs="Times New Roman"/>
          <w:smallCaps w:val="0"/>
          <w:sz w:val="21"/>
        </w:rPr>
        <w:fldChar w:fldCharType="end"/>
      </w:r>
    </w:p>
    <w:p>
      <w:pPr>
        <w:pStyle w:val="9"/>
        <w:tabs>
          <w:tab w:val="right" w:leader="dot" w:pos="8296"/>
        </w:tabs>
        <w:spacing w:before="80" w:after="80"/>
        <w:ind w:firstLine="300" w:firstLineChars="150"/>
        <w:rPr>
          <w:rFonts w:ascii="宋体" w:hAnsi="宋体" w:eastAsia="宋体"/>
          <w:i w:val="0"/>
          <w:sz w:val="21"/>
          <w:szCs w:val="28"/>
        </w:rPr>
      </w:pPr>
      <w:r>
        <w:fldChar w:fldCharType="begin"/>
      </w:r>
      <w:r>
        <w:instrText xml:space="preserve"> HYPERLINK \l "_Toc501407844" </w:instrText>
      </w:r>
      <w:r>
        <w:fldChar w:fldCharType="separate"/>
      </w:r>
      <w:r>
        <w:rPr>
          <w:rFonts w:hint="eastAsia" w:ascii="宋体" w:hAnsi="宋体" w:eastAsia="宋体"/>
          <w:i w:val="0"/>
          <w:sz w:val="21"/>
          <w:szCs w:val="28"/>
        </w:rPr>
        <w:t>（一）参与调查毕业生的性别、年龄、政治面貌、学历层次等基本情况</w:t>
      </w:r>
      <w:r>
        <w:rPr>
          <w:rFonts w:ascii="宋体" w:hAnsi="宋体" w:eastAsia="宋体"/>
          <w:i w:val="0"/>
          <w:sz w:val="21"/>
          <w:szCs w:val="28"/>
        </w:rPr>
        <w:tab/>
      </w:r>
      <w:r>
        <w:rPr>
          <w:rFonts w:ascii="宋体" w:hAnsi="宋体" w:eastAsia="宋体"/>
          <w:i w:val="0"/>
          <w:sz w:val="21"/>
          <w:szCs w:val="28"/>
        </w:rPr>
        <w:fldChar w:fldCharType="begin"/>
      </w:r>
      <w:r>
        <w:rPr>
          <w:rFonts w:ascii="宋体" w:hAnsi="宋体" w:eastAsia="宋体"/>
          <w:i w:val="0"/>
          <w:sz w:val="21"/>
          <w:szCs w:val="28"/>
        </w:rPr>
        <w:instrText xml:space="preserve"> PAGEREF _Toc501407844 \h </w:instrText>
      </w:r>
      <w:r>
        <w:rPr>
          <w:rFonts w:ascii="宋体" w:hAnsi="宋体" w:eastAsia="宋体"/>
          <w:i w:val="0"/>
          <w:sz w:val="21"/>
          <w:szCs w:val="28"/>
        </w:rPr>
        <w:fldChar w:fldCharType="separate"/>
      </w:r>
      <w:r>
        <w:rPr>
          <w:rFonts w:ascii="宋体" w:hAnsi="宋体" w:eastAsia="宋体"/>
          <w:i w:val="0"/>
          <w:sz w:val="21"/>
          <w:szCs w:val="28"/>
        </w:rPr>
        <w:t>33</w:t>
      </w:r>
      <w:r>
        <w:rPr>
          <w:rFonts w:ascii="宋体" w:hAnsi="宋体" w:eastAsia="宋体"/>
          <w:i w:val="0"/>
          <w:sz w:val="21"/>
          <w:szCs w:val="28"/>
        </w:rPr>
        <w:fldChar w:fldCharType="end"/>
      </w:r>
      <w:r>
        <w:rPr>
          <w:rFonts w:ascii="宋体" w:hAnsi="宋体" w:eastAsia="宋体"/>
          <w:i w:val="0"/>
          <w:sz w:val="21"/>
          <w:szCs w:val="28"/>
        </w:rPr>
        <w:fldChar w:fldCharType="end"/>
      </w:r>
    </w:p>
    <w:p>
      <w:pPr>
        <w:pStyle w:val="9"/>
        <w:tabs>
          <w:tab w:val="right" w:leader="dot" w:pos="8296"/>
        </w:tabs>
        <w:spacing w:before="80" w:after="80"/>
        <w:ind w:firstLine="300" w:firstLineChars="150"/>
        <w:rPr>
          <w:rFonts w:ascii="宋体" w:hAnsi="宋体" w:eastAsia="宋体"/>
          <w:i w:val="0"/>
          <w:sz w:val="21"/>
          <w:szCs w:val="28"/>
        </w:rPr>
      </w:pPr>
      <w:r>
        <w:fldChar w:fldCharType="begin"/>
      </w:r>
      <w:r>
        <w:instrText xml:space="preserve"> HYPERLINK \l "_Toc501407845" </w:instrText>
      </w:r>
      <w:r>
        <w:fldChar w:fldCharType="separate"/>
      </w:r>
      <w:r>
        <w:rPr>
          <w:rFonts w:hint="eastAsia" w:ascii="宋体" w:hAnsi="宋体" w:eastAsia="宋体"/>
          <w:i w:val="0"/>
          <w:sz w:val="21"/>
          <w:szCs w:val="28"/>
        </w:rPr>
        <w:t>（二）抽样调查的</w:t>
      </w:r>
      <w:r>
        <w:rPr>
          <w:rFonts w:ascii="宋体" w:hAnsi="宋体" w:eastAsia="宋体"/>
          <w:i w:val="0"/>
          <w:sz w:val="21"/>
          <w:szCs w:val="28"/>
        </w:rPr>
        <w:t>2017</w:t>
      </w:r>
      <w:r>
        <w:rPr>
          <w:rFonts w:hint="eastAsia" w:ascii="宋体" w:hAnsi="宋体" w:eastAsia="宋体"/>
          <w:i w:val="0"/>
          <w:sz w:val="21"/>
          <w:szCs w:val="28"/>
        </w:rPr>
        <w:t>届毕业生学院和专业分布情况</w:t>
      </w:r>
      <w:r>
        <w:rPr>
          <w:rFonts w:ascii="宋体" w:hAnsi="宋体" w:eastAsia="宋体"/>
          <w:i w:val="0"/>
          <w:sz w:val="21"/>
          <w:szCs w:val="28"/>
        </w:rPr>
        <w:tab/>
      </w:r>
      <w:r>
        <w:rPr>
          <w:rFonts w:ascii="宋体" w:hAnsi="宋体" w:eastAsia="宋体"/>
          <w:i w:val="0"/>
          <w:sz w:val="21"/>
          <w:szCs w:val="28"/>
        </w:rPr>
        <w:fldChar w:fldCharType="begin"/>
      </w:r>
      <w:r>
        <w:rPr>
          <w:rFonts w:ascii="宋体" w:hAnsi="宋体" w:eastAsia="宋体"/>
          <w:i w:val="0"/>
          <w:sz w:val="21"/>
          <w:szCs w:val="28"/>
        </w:rPr>
        <w:instrText xml:space="preserve"> PAGEREF _Toc501407845 \h </w:instrText>
      </w:r>
      <w:r>
        <w:rPr>
          <w:rFonts w:ascii="宋体" w:hAnsi="宋体" w:eastAsia="宋体"/>
          <w:i w:val="0"/>
          <w:sz w:val="21"/>
          <w:szCs w:val="28"/>
        </w:rPr>
        <w:fldChar w:fldCharType="separate"/>
      </w:r>
      <w:r>
        <w:rPr>
          <w:rFonts w:ascii="宋体" w:hAnsi="宋体" w:eastAsia="宋体"/>
          <w:i w:val="0"/>
          <w:sz w:val="21"/>
          <w:szCs w:val="28"/>
        </w:rPr>
        <w:t>34</w:t>
      </w:r>
      <w:r>
        <w:rPr>
          <w:rFonts w:ascii="宋体" w:hAnsi="宋体" w:eastAsia="宋体"/>
          <w:i w:val="0"/>
          <w:sz w:val="21"/>
          <w:szCs w:val="28"/>
        </w:rPr>
        <w:fldChar w:fldCharType="end"/>
      </w:r>
      <w:r>
        <w:rPr>
          <w:rFonts w:ascii="宋体" w:hAnsi="宋体" w:eastAsia="宋体"/>
          <w:i w:val="0"/>
          <w:sz w:val="21"/>
          <w:szCs w:val="28"/>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"_Toc501407846" </w:instrText>
      </w:r>
      <w:r>
        <w:fldChar w:fldCharType="separate"/>
      </w:r>
      <w:r>
        <w:rPr>
          <w:rFonts w:ascii="宋体" w:hAnsi="宋体"/>
          <w:bCs/>
          <w:smallCaps w:val="0"/>
          <w:sz w:val="21"/>
          <w:szCs w:val="24"/>
        </w:rPr>
        <w:t xml:space="preserve">1. </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届毕业生学院分布情况</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_Toc501407846 \h </w:instrText>
      </w:r>
      <w:r>
        <w:rPr>
          <w:rFonts w:ascii="宋体" w:hAnsi="宋体" w:eastAsia="宋体"/>
          <w:bCs/>
          <w:smallCaps w:val="0"/>
          <w:sz w:val="21"/>
          <w:szCs w:val="24"/>
        </w:rPr>
        <w:fldChar w:fldCharType="separate"/>
      </w:r>
      <w:r>
        <w:rPr>
          <w:rFonts w:ascii="宋体" w:hAnsi="宋体" w:eastAsia="宋体"/>
          <w:bCs/>
          <w:smallCaps w:val="0"/>
          <w:sz w:val="21"/>
          <w:szCs w:val="24"/>
        </w:rPr>
        <w:t>34</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"_Toc501407847" </w:instrText>
      </w:r>
      <w:r>
        <w:fldChar w:fldCharType="separate"/>
      </w:r>
      <w:r>
        <w:rPr>
          <w:rFonts w:ascii="宋体" w:hAnsi="宋体"/>
          <w:bCs/>
          <w:smallCaps w:val="0"/>
          <w:sz w:val="21"/>
          <w:szCs w:val="24"/>
        </w:rPr>
        <w:t>2</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届毕业生专业分布情况</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_Toc501407847 \h </w:instrText>
      </w:r>
      <w:r>
        <w:rPr>
          <w:rFonts w:ascii="宋体" w:hAnsi="宋体" w:eastAsia="宋体"/>
          <w:bCs/>
          <w:smallCaps w:val="0"/>
          <w:sz w:val="21"/>
          <w:szCs w:val="24"/>
        </w:rPr>
        <w:fldChar w:fldCharType="separate"/>
      </w:r>
      <w:r>
        <w:rPr>
          <w:rFonts w:ascii="宋体" w:hAnsi="宋体" w:eastAsia="宋体"/>
          <w:bCs/>
          <w:smallCaps w:val="0"/>
          <w:sz w:val="21"/>
          <w:szCs w:val="24"/>
        </w:rPr>
        <w:t>34</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100" w:after="100"/>
        <w:ind w:firstLine="200" w:firstLineChars="100"/>
        <w:rPr>
          <w:rFonts w:ascii="宋体" w:hAnsi="宋体" w:eastAsia="宋体" w:cs="Times New Roman"/>
          <w:smallCaps w:val="0"/>
          <w:sz w:val="21"/>
        </w:rPr>
      </w:pPr>
      <w:r>
        <w:fldChar w:fldCharType="begin"/>
      </w:r>
      <w:r>
        <w:instrText xml:space="preserve"> HYPERLINK \l "_Toc501407848" </w:instrText>
      </w:r>
      <w:r>
        <w:fldChar w:fldCharType="separate"/>
      </w:r>
      <w:r>
        <w:rPr>
          <w:rFonts w:hint="eastAsia" w:ascii="宋体" w:hAnsi="宋体" w:eastAsia="宋体"/>
          <w:smallCaps w:val="0"/>
          <w:sz w:val="21"/>
        </w:rPr>
        <w:t>二、抽样调查的</w:t>
      </w:r>
      <w:r>
        <w:rPr>
          <w:rFonts w:ascii="宋体" w:hAnsi="宋体" w:eastAsia="宋体"/>
          <w:smallCaps w:val="0"/>
          <w:sz w:val="21"/>
        </w:rPr>
        <w:t>2017</w:t>
      </w:r>
      <w:r>
        <w:rPr>
          <w:rFonts w:hint="eastAsia" w:ascii="宋体" w:hAnsi="宋体" w:eastAsia="宋体"/>
          <w:smallCaps w:val="0"/>
          <w:sz w:val="21"/>
        </w:rPr>
        <w:t>届毕业生毕业去向</w:t>
      </w:r>
      <w:r>
        <w:rPr>
          <w:rFonts w:ascii="宋体" w:hAnsi="宋体" w:eastAsia="宋体" w:cs="Times New Roman"/>
          <w:smallCaps w:val="0"/>
          <w:sz w:val="21"/>
        </w:rPr>
        <w:tab/>
      </w:r>
      <w:r>
        <w:rPr>
          <w:rFonts w:ascii="宋体" w:hAnsi="宋体" w:eastAsia="宋体" w:cs="Times New Roman"/>
          <w:smallCaps w:val="0"/>
          <w:sz w:val="21"/>
        </w:rPr>
        <w:fldChar w:fldCharType="begin"/>
      </w:r>
      <w:r>
        <w:rPr>
          <w:rFonts w:ascii="宋体" w:hAnsi="宋体" w:eastAsia="宋体" w:cs="Times New Roman"/>
          <w:smallCaps w:val="0"/>
          <w:sz w:val="21"/>
        </w:rPr>
        <w:instrText xml:space="preserve"> PAGEREF _Toc501407848 \h </w:instrText>
      </w:r>
      <w:r>
        <w:rPr>
          <w:rFonts w:ascii="宋体" w:hAnsi="宋体" w:eastAsia="宋体" w:cs="Times New Roman"/>
          <w:smallCaps w:val="0"/>
          <w:sz w:val="21"/>
        </w:rPr>
        <w:fldChar w:fldCharType="separate"/>
      </w:r>
      <w:r>
        <w:rPr>
          <w:rFonts w:ascii="宋体" w:hAnsi="宋体" w:eastAsia="宋体" w:cs="Times New Roman"/>
          <w:smallCaps w:val="0"/>
          <w:sz w:val="21"/>
        </w:rPr>
        <w:t>35</w:t>
      </w:r>
      <w:r>
        <w:rPr>
          <w:rFonts w:ascii="宋体" w:hAnsi="宋体" w:eastAsia="宋体" w:cs="Times New Roman"/>
          <w:smallCaps w:val="0"/>
          <w:sz w:val="21"/>
        </w:rPr>
        <w:fldChar w:fldCharType="end"/>
      </w:r>
      <w:r>
        <w:rPr>
          <w:rFonts w:ascii="宋体" w:hAnsi="宋体" w:eastAsia="宋体" w:cs="Times New Roman"/>
          <w:smallCaps w:val="0"/>
          <w:sz w:val="21"/>
        </w:rPr>
        <w:fldChar w:fldCharType="end"/>
      </w:r>
    </w:p>
    <w:p>
      <w:pPr>
        <w:pStyle w:val="19"/>
        <w:tabs>
          <w:tab w:val="right" w:leader="dot" w:pos="8296"/>
        </w:tabs>
        <w:spacing w:before="100" w:after="100"/>
        <w:ind w:firstLine="200" w:firstLineChars="100"/>
        <w:rPr>
          <w:rFonts w:ascii="宋体" w:hAnsi="宋体" w:eastAsia="宋体" w:cs="Times New Roman"/>
          <w:smallCaps w:val="0"/>
          <w:sz w:val="21"/>
        </w:rPr>
      </w:pPr>
      <w:r>
        <w:fldChar w:fldCharType="begin"/>
      </w:r>
      <w:r>
        <w:instrText xml:space="preserve"> HYPERLINK \l "_Toc501407849" </w:instrText>
      </w:r>
      <w:r>
        <w:fldChar w:fldCharType="separate"/>
      </w:r>
      <w:r>
        <w:rPr>
          <w:rFonts w:hint="eastAsia" w:ascii="宋体" w:hAnsi="宋体" w:eastAsia="宋体"/>
          <w:smallCaps w:val="0"/>
          <w:sz w:val="21"/>
        </w:rPr>
        <w:t>三、抽样调查的</w:t>
      </w:r>
      <w:r>
        <w:rPr>
          <w:rFonts w:ascii="宋体" w:hAnsi="宋体" w:eastAsia="宋体"/>
          <w:smallCaps w:val="0"/>
          <w:sz w:val="21"/>
        </w:rPr>
        <w:t>2017</w:t>
      </w:r>
      <w:r>
        <w:rPr>
          <w:rFonts w:hint="eastAsia" w:ascii="宋体" w:hAnsi="宋体" w:eastAsia="宋体"/>
          <w:smallCaps w:val="0"/>
          <w:sz w:val="21"/>
        </w:rPr>
        <w:t>届毕业生对专业的选择和认可度</w:t>
      </w:r>
      <w:r>
        <w:rPr>
          <w:rFonts w:ascii="宋体" w:hAnsi="宋体" w:eastAsia="宋体" w:cs="Times New Roman"/>
          <w:smallCaps w:val="0"/>
          <w:sz w:val="21"/>
        </w:rPr>
        <w:tab/>
      </w:r>
      <w:r>
        <w:rPr>
          <w:rFonts w:ascii="宋体" w:hAnsi="宋体" w:eastAsia="宋体" w:cs="Times New Roman"/>
          <w:smallCaps w:val="0"/>
          <w:sz w:val="21"/>
        </w:rPr>
        <w:fldChar w:fldCharType="begin"/>
      </w:r>
      <w:r>
        <w:rPr>
          <w:rFonts w:ascii="宋体" w:hAnsi="宋体" w:eastAsia="宋体" w:cs="Times New Roman"/>
          <w:smallCaps w:val="0"/>
          <w:sz w:val="21"/>
        </w:rPr>
        <w:instrText xml:space="preserve"> PAGEREF _Toc501407849 \h </w:instrText>
      </w:r>
      <w:r>
        <w:rPr>
          <w:rFonts w:ascii="宋体" w:hAnsi="宋体" w:eastAsia="宋体" w:cs="Times New Roman"/>
          <w:smallCaps w:val="0"/>
          <w:sz w:val="21"/>
        </w:rPr>
        <w:fldChar w:fldCharType="separate"/>
      </w:r>
      <w:r>
        <w:rPr>
          <w:rFonts w:ascii="宋体" w:hAnsi="宋体" w:eastAsia="宋体" w:cs="Times New Roman"/>
          <w:smallCaps w:val="0"/>
          <w:sz w:val="21"/>
        </w:rPr>
        <w:t>36</w:t>
      </w:r>
      <w:r>
        <w:rPr>
          <w:rFonts w:ascii="宋体" w:hAnsi="宋体" w:eastAsia="宋体" w:cs="Times New Roman"/>
          <w:smallCaps w:val="0"/>
          <w:sz w:val="21"/>
        </w:rPr>
        <w:fldChar w:fldCharType="end"/>
      </w:r>
      <w:r>
        <w:rPr>
          <w:rFonts w:ascii="宋体" w:hAnsi="宋体" w:eastAsia="宋体" w:cs="Times New Roman"/>
          <w:smallCaps w:val="0"/>
          <w:sz w:val="21"/>
        </w:rPr>
        <w:fldChar w:fldCharType="end"/>
      </w:r>
    </w:p>
    <w:p>
      <w:pPr>
        <w:pStyle w:val="9"/>
        <w:tabs>
          <w:tab w:val="right" w:leader="dot" w:pos="8296"/>
        </w:tabs>
        <w:spacing w:before="80" w:after="80"/>
        <w:ind w:firstLine="300" w:firstLineChars="150"/>
        <w:rPr>
          <w:rFonts w:ascii="宋体" w:hAnsi="宋体" w:eastAsia="宋体"/>
          <w:i w:val="0"/>
          <w:sz w:val="21"/>
          <w:szCs w:val="28"/>
        </w:rPr>
      </w:pPr>
      <w:r>
        <w:fldChar w:fldCharType="begin"/>
      </w:r>
      <w:r>
        <w:instrText xml:space="preserve"> HYPERLINK \l "_Toc501407850" </w:instrText>
      </w:r>
      <w:r>
        <w:fldChar w:fldCharType="separate"/>
      </w:r>
      <w:r>
        <w:rPr>
          <w:rFonts w:hint="eastAsia" w:ascii="宋体" w:hAnsi="宋体" w:eastAsia="宋体"/>
          <w:i w:val="0"/>
          <w:sz w:val="21"/>
          <w:szCs w:val="28"/>
        </w:rPr>
        <w:t>（一）抽样调查的</w:t>
      </w:r>
      <w:r>
        <w:rPr>
          <w:rFonts w:ascii="宋体" w:hAnsi="宋体" w:eastAsia="宋体"/>
          <w:i w:val="0"/>
          <w:sz w:val="21"/>
          <w:szCs w:val="28"/>
        </w:rPr>
        <w:t>2017</w:t>
      </w:r>
      <w:r>
        <w:rPr>
          <w:rFonts w:hint="eastAsia" w:ascii="宋体" w:hAnsi="宋体" w:eastAsia="宋体"/>
          <w:i w:val="0"/>
          <w:sz w:val="21"/>
          <w:szCs w:val="28"/>
        </w:rPr>
        <w:t>届毕业生对专业的选择</w:t>
      </w:r>
      <w:r>
        <w:rPr>
          <w:rFonts w:ascii="宋体" w:hAnsi="宋体" w:eastAsia="宋体"/>
          <w:i w:val="0"/>
          <w:sz w:val="21"/>
          <w:szCs w:val="28"/>
        </w:rPr>
        <w:tab/>
      </w:r>
      <w:r>
        <w:rPr>
          <w:rFonts w:ascii="宋体" w:hAnsi="宋体" w:eastAsia="宋体"/>
          <w:i w:val="0"/>
          <w:sz w:val="21"/>
          <w:szCs w:val="28"/>
        </w:rPr>
        <w:fldChar w:fldCharType="begin"/>
      </w:r>
      <w:r>
        <w:rPr>
          <w:rFonts w:ascii="宋体" w:hAnsi="宋体" w:eastAsia="宋体"/>
          <w:i w:val="0"/>
          <w:sz w:val="21"/>
          <w:szCs w:val="28"/>
        </w:rPr>
        <w:instrText xml:space="preserve"> PAGEREF _Toc501407850 \h </w:instrText>
      </w:r>
      <w:r>
        <w:rPr>
          <w:rFonts w:ascii="宋体" w:hAnsi="宋体" w:eastAsia="宋体"/>
          <w:i w:val="0"/>
          <w:sz w:val="21"/>
          <w:szCs w:val="28"/>
        </w:rPr>
        <w:fldChar w:fldCharType="separate"/>
      </w:r>
      <w:r>
        <w:rPr>
          <w:rFonts w:ascii="宋体" w:hAnsi="宋体" w:eastAsia="宋体"/>
          <w:i w:val="0"/>
          <w:sz w:val="21"/>
          <w:szCs w:val="28"/>
        </w:rPr>
        <w:t>36</w:t>
      </w:r>
      <w:r>
        <w:rPr>
          <w:rFonts w:ascii="宋体" w:hAnsi="宋体" w:eastAsia="宋体"/>
          <w:i w:val="0"/>
          <w:sz w:val="21"/>
          <w:szCs w:val="28"/>
        </w:rPr>
        <w:fldChar w:fldCharType="end"/>
      </w:r>
      <w:r>
        <w:rPr>
          <w:rFonts w:ascii="宋体" w:hAnsi="宋体" w:eastAsia="宋体"/>
          <w:i w:val="0"/>
          <w:sz w:val="21"/>
          <w:szCs w:val="28"/>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"_Toc501407851" </w:instrText>
      </w:r>
      <w:r>
        <w:fldChar w:fldCharType="separate"/>
      </w:r>
      <w:r>
        <w:rPr>
          <w:rFonts w:ascii="宋体" w:hAnsi="宋体"/>
          <w:bCs/>
          <w:smallCaps w:val="0"/>
          <w:sz w:val="21"/>
          <w:szCs w:val="24"/>
        </w:rPr>
        <w:t>1</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届毕业生选择专业的方式</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_Toc501407851 \h </w:instrText>
      </w:r>
      <w:r>
        <w:rPr>
          <w:rFonts w:ascii="宋体" w:hAnsi="宋体" w:eastAsia="宋体"/>
          <w:bCs/>
          <w:smallCaps w:val="0"/>
          <w:sz w:val="21"/>
          <w:szCs w:val="24"/>
        </w:rPr>
        <w:fldChar w:fldCharType="separate"/>
      </w:r>
      <w:r>
        <w:rPr>
          <w:rFonts w:ascii="宋体" w:hAnsi="宋体" w:eastAsia="宋体"/>
          <w:bCs/>
          <w:smallCaps w:val="0"/>
          <w:sz w:val="21"/>
          <w:szCs w:val="24"/>
        </w:rPr>
        <w:t>36</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"_Toc501407852" </w:instrText>
      </w:r>
      <w:r>
        <w:fldChar w:fldCharType="separate"/>
      </w:r>
      <w:r>
        <w:rPr>
          <w:rFonts w:ascii="宋体" w:hAnsi="宋体"/>
          <w:bCs/>
          <w:smallCaps w:val="0"/>
          <w:sz w:val="21"/>
          <w:szCs w:val="24"/>
        </w:rPr>
        <w:t>2</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届毕业生对待本专业的态度</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_Toc501407852 \h </w:instrText>
      </w:r>
      <w:r>
        <w:rPr>
          <w:rFonts w:ascii="宋体" w:hAnsi="宋体" w:eastAsia="宋体"/>
          <w:bCs/>
          <w:smallCaps w:val="0"/>
          <w:sz w:val="21"/>
          <w:szCs w:val="24"/>
        </w:rPr>
        <w:fldChar w:fldCharType="separate"/>
      </w:r>
      <w:r>
        <w:rPr>
          <w:rFonts w:ascii="宋体" w:hAnsi="宋体" w:eastAsia="宋体"/>
          <w:bCs/>
          <w:smallCaps w:val="0"/>
          <w:sz w:val="21"/>
          <w:szCs w:val="24"/>
        </w:rPr>
        <w:t>36</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"_Toc501407853" </w:instrText>
      </w:r>
      <w:r>
        <w:fldChar w:fldCharType="separate"/>
      </w:r>
      <w:r>
        <w:rPr>
          <w:rFonts w:ascii="宋体" w:hAnsi="宋体"/>
          <w:bCs/>
          <w:smallCaps w:val="0"/>
          <w:sz w:val="21"/>
          <w:szCs w:val="24"/>
        </w:rPr>
        <w:t>3</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届毕业生从事与本专业相关工作的意愿</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_Toc501407853 \h </w:instrText>
      </w:r>
      <w:r>
        <w:rPr>
          <w:rFonts w:ascii="宋体" w:hAnsi="宋体" w:eastAsia="宋体"/>
          <w:bCs/>
          <w:smallCaps w:val="0"/>
          <w:sz w:val="21"/>
          <w:szCs w:val="24"/>
        </w:rPr>
        <w:fldChar w:fldCharType="separate"/>
      </w:r>
      <w:r>
        <w:rPr>
          <w:rFonts w:ascii="宋体" w:hAnsi="宋体" w:eastAsia="宋体"/>
          <w:bCs/>
          <w:smallCaps w:val="0"/>
          <w:sz w:val="21"/>
          <w:szCs w:val="24"/>
        </w:rPr>
        <w:t>37</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9"/>
        <w:tabs>
          <w:tab w:val="right" w:leader="dot" w:pos="8296"/>
        </w:tabs>
        <w:spacing w:before="80" w:after="80"/>
        <w:ind w:firstLine="300" w:firstLineChars="150"/>
        <w:rPr>
          <w:rFonts w:ascii="宋体" w:hAnsi="宋体" w:eastAsia="宋体"/>
          <w:i w:val="0"/>
          <w:sz w:val="21"/>
          <w:szCs w:val="28"/>
        </w:rPr>
      </w:pPr>
      <w:r>
        <w:fldChar w:fldCharType="begin"/>
      </w:r>
      <w:r>
        <w:instrText xml:space="preserve"> HYPERLINK \l "_Toc501407854" </w:instrText>
      </w:r>
      <w:r>
        <w:fldChar w:fldCharType="separate"/>
      </w:r>
      <w:r>
        <w:rPr>
          <w:rFonts w:hint="eastAsia" w:ascii="宋体" w:hAnsi="宋体" w:eastAsia="宋体"/>
          <w:i w:val="0"/>
          <w:sz w:val="21"/>
          <w:szCs w:val="28"/>
        </w:rPr>
        <w:t>（二）抽样调查的</w:t>
      </w:r>
      <w:r>
        <w:rPr>
          <w:rFonts w:ascii="宋体" w:hAnsi="宋体" w:eastAsia="宋体"/>
          <w:i w:val="0"/>
          <w:sz w:val="21"/>
          <w:szCs w:val="28"/>
        </w:rPr>
        <w:t>2017</w:t>
      </w:r>
      <w:r>
        <w:rPr>
          <w:rFonts w:hint="eastAsia" w:ascii="宋体" w:hAnsi="宋体" w:eastAsia="宋体"/>
          <w:i w:val="0"/>
          <w:sz w:val="21"/>
          <w:szCs w:val="28"/>
        </w:rPr>
        <w:t>届毕业生对本专业情况的评价</w:t>
      </w:r>
      <w:r>
        <w:rPr>
          <w:rFonts w:ascii="宋体" w:hAnsi="宋体" w:eastAsia="宋体"/>
          <w:i w:val="0"/>
          <w:sz w:val="21"/>
          <w:szCs w:val="28"/>
        </w:rPr>
        <w:tab/>
      </w:r>
      <w:r>
        <w:rPr>
          <w:rFonts w:ascii="宋体" w:hAnsi="宋体" w:eastAsia="宋体"/>
          <w:i w:val="0"/>
          <w:sz w:val="21"/>
          <w:szCs w:val="28"/>
        </w:rPr>
        <w:fldChar w:fldCharType="begin"/>
      </w:r>
      <w:r>
        <w:rPr>
          <w:rFonts w:ascii="宋体" w:hAnsi="宋体" w:eastAsia="宋体"/>
          <w:i w:val="0"/>
          <w:sz w:val="21"/>
          <w:szCs w:val="28"/>
        </w:rPr>
        <w:instrText xml:space="preserve"> PAGEREF _Toc501407854 \h </w:instrText>
      </w:r>
      <w:r>
        <w:rPr>
          <w:rFonts w:ascii="宋体" w:hAnsi="宋体" w:eastAsia="宋体"/>
          <w:i w:val="0"/>
          <w:sz w:val="21"/>
          <w:szCs w:val="28"/>
        </w:rPr>
        <w:fldChar w:fldCharType="separate"/>
      </w:r>
      <w:r>
        <w:rPr>
          <w:rFonts w:ascii="宋体" w:hAnsi="宋体" w:eastAsia="宋体"/>
          <w:i w:val="0"/>
          <w:sz w:val="21"/>
          <w:szCs w:val="28"/>
        </w:rPr>
        <w:t>37</w:t>
      </w:r>
      <w:r>
        <w:rPr>
          <w:rFonts w:ascii="宋体" w:hAnsi="宋体" w:eastAsia="宋体"/>
          <w:i w:val="0"/>
          <w:sz w:val="21"/>
          <w:szCs w:val="28"/>
        </w:rPr>
        <w:fldChar w:fldCharType="end"/>
      </w:r>
      <w:r>
        <w:rPr>
          <w:rFonts w:ascii="宋体" w:hAnsi="宋体" w:eastAsia="宋体"/>
          <w:i w:val="0"/>
          <w:sz w:val="21"/>
          <w:szCs w:val="28"/>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"_Toc501407855" </w:instrText>
      </w:r>
      <w:r>
        <w:fldChar w:fldCharType="separate"/>
      </w:r>
      <w:r>
        <w:rPr>
          <w:rFonts w:ascii="宋体" w:hAnsi="宋体"/>
          <w:bCs/>
          <w:smallCaps w:val="0"/>
          <w:sz w:val="21"/>
          <w:szCs w:val="24"/>
        </w:rPr>
        <w:t>1</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届毕业生对本专业课程设置的满意程度</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_Toc501407855 \h </w:instrText>
      </w:r>
      <w:r>
        <w:rPr>
          <w:rFonts w:ascii="宋体" w:hAnsi="宋体" w:eastAsia="宋体"/>
          <w:bCs/>
          <w:smallCaps w:val="0"/>
          <w:sz w:val="21"/>
          <w:szCs w:val="24"/>
        </w:rPr>
        <w:fldChar w:fldCharType="separate"/>
      </w:r>
      <w:r>
        <w:rPr>
          <w:rFonts w:ascii="宋体" w:hAnsi="宋体" w:eastAsia="宋体"/>
          <w:bCs/>
          <w:smallCaps w:val="0"/>
          <w:sz w:val="21"/>
          <w:szCs w:val="24"/>
        </w:rPr>
        <w:t>37</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"_Toc501407856" </w:instrText>
      </w:r>
      <w:r>
        <w:fldChar w:fldCharType="separate"/>
      </w:r>
      <w:r>
        <w:rPr>
          <w:rFonts w:ascii="宋体" w:hAnsi="宋体"/>
          <w:bCs/>
          <w:smallCaps w:val="0"/>
          <w:sz w:val="21"/>
          <w:szCs w:val="24"/>
        </w:rPr>
        <w:t>2</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届毕业生对专业课教师授课水平的满意程度</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_Toc501407856 \h </w:instrText>
      </w:r>
      <w:r>
        <w:rPr>
          <w:rFonts w:ascii="宋体" w:hAnsi="宋体" w:eastAsia="宋体"/>
          <w:bCs/>
          <w:smallCaps w:val="0"/>
          <w:sz w:val="21"/>
          <w:szCs w:val="24"/>
        </w:rPr>
        <w:fldChar w:fldCharType="separate"/>
      </w:r>
      <w:r>
        <w:rPr>
          <w:rFonts w:ascii="宋体" w:hAnsi="宋体" w:eastAsia="宋体"/>
          <w:bCs/>
          <w:smallCaps w:val="0"/>
          <w:sz w:val="21"/>
          <w:szCs w:val="24"/>
        </w:rPr>
        <w:t>37</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"_Toc501407857" </w:instrText>
      </w:r>
      <w:r>
        <w:fldChar w:fldCharType="separate"/>
      </w:r>
      <w:r>
        <w:rPr>
          <w:rFonts w:ascii="宋体" w:hAnsi="宋体"/>
          <w:bCs/>
          <w:smallCaps w:val="0"/>
          <w:sz w:val="21"/>
          <w:szCs w:val="24"/>
        </w:rPr>
        <w:t>3</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届毕业生所学专业知识满足工作需要的程度</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_Toc501407857 \h </w:instrText>
      </w:r>
      <w:r>
        <w:rPr>
          <w:rFonts w:ascii="宋体" w:hAnsi="宋体" w:eastAsia="宋体"/>
          <w:bCs/>
          <w:smallCaps w:val="0"/>
          <w:sz w:val="21"/>
          <w:szCs w:val="24"/>
        </w:rPr>
        <w:fldChar w:fldCharType="separate"/>
      </w:r>
      <w:r>
        <w:rPr>
          <w:rFonts w:ascii="宋体" w:hAnsi="宋体" w:eastAsia="宋体"/>
          <w:bCs/>
          <w:smallCaps w:val="0"/>
          <w:sz w:val="21"/>
          <w:szCs w:val="24"/>
        </w:rPr>
        <w:t>38</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"_Toc501407858" </w:instrText>
      </w:r>
      <w:r>
        <w:fldChar w:fldCharType="separate"/>
      </w:r>
      <w:r>
        <w:rPr>
          <w:rFonts w:ascii="宋体" w:hAnsi="宋体"/>
          <w:bCs/>
          <w:smallCaps w:val="0"/>
          <w:sz w:val="21"/>
          <w:szCs w:val="24"/>
        </w:rPr>
        <w:t>4</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届毕业生所学专业技能满足工作需要的程度</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_Toc501407858 \h </w:instrText>
      </w:r>
      <w:r>
        <w:rPr>
          <w:rFonts w:ascii="宋体" w:hAnsi="宋体" w:eastAsia="宋体"/>
          <w:bCs/>
          <w:smallCaps w:val="0"/>
          <w:sz w:val="21"/>
          <w:szCs w:val="24"/>
        </w:rPr>
        <w:fldChar w:fldCharType="separate"/>
      </w:r>
      <w:r>
        <w:rPr>
          <w:rFonts w:ascii="宋体" w:hAnsi="宋体" w:eastAsia="宋体"/>
          <w:bCs/>
          <w:smallCaps w:val="0"/>
          <w:sz w:val="21"/>
          <w:szCs w:val="24"/>
        </w:rPr>
        <w:t>38</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"_Toc501407859" </w:instrText>
      </w:r>
      <w:r>
        <w:fldChar w:fldCharType="separate"/>
      </w:r>
      <w:r>
        <w:rPr>
          <w:rFonts w:ascii="宋体" w:hAnsi="宋体"/>
          <w:bCs/>
          <w:smallCaps w:val="0"/>
          <w:sz w:val="21"/>
          <w:szCs w:val="24"/>
        </w:rPr>
        <w:t>5</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届毕业生所学专业的社会需求程度</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_Toc501407859 \h </w:instrText>
      </w:r>
      <w:r>
        <w:rPr>
          <w:rFonts w:ascii="宋体" w:hAnsi="宋体" w:eastAsia="宋体"/>
          <w:bCs/>
          <w:smallCaps w:val="0"/>
          <w:sz w:val="21"/>
          <w:szCs w:val="24"/>
        </w:rPr>
        <w:fldChar w:fldCharType="separate"/>
      </w:r>
      <w:r>
        <w:rPr>
          <w:rFonts w:ascii="宋体" w:hAnsi="宋体" w:eastAsia="宋体"/>
          <w:bCs/>
          <w:smallCaps w:val="0"/>
          <w:sz w:val="21"/>
          <w:szCs w:val="24"/>
        </w:rPr>
        <w:t>39</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"_Toc501407860" </w:instrText>
      </w:r>
      <w:r>
        <w:fldChar w:fldCharType="separate"/>
      </w:r>
      <w:r>
        <w:rPr>
          <w:rFonts w:ascii="宋体" w:hAnsi="宋体"/>
          <w:bCs/>
          <w:smallCaps w:val="0"/>
          <w:sz w:val="21"/>
          <w:szCs w:val="24"/>
        </w:rPr>
        <w:t>6</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届毕业生能力训练满足实际工作的程度</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_Toc501407860 \h </w:instrText>
      </w:r>
      <w:r>
        <w:rPr>
          <w:rFonts w:ascii="宋体" w:hAnsi="宋体" w:eastAsia="宋体"/>
          <w:bCs/>
          <w:smallCaps w:val="0"/>
          <w:sz w:val="21"/>
          <w:szCs w:val="24"/>
        </w:rPr>
        <w:fldChar w:fldCharType="separate"/>
      </w:r>
      <w:r>
        <w:rPr>
          <w:rFonts w:ascii="宋体" w:hAnsi="宋体" w:eastAsia="宋体"/>
          <w:bCs/>
          <w:smallCaps w:val="0"/>
          <w:sz w:val="21"/>
          <w:szCs w:val="24"/>
        </w:rPr>
        <w:t>39</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9"/>
        <w:tabs>
          <w:tab w:val="right" w:leader="dot" w:pos="8296"/>
        </w:tabs>
        <w:spacing w:before="80" w:after="80"/>
        <w:ind w:firstLine="300" w:firstLineChars="150"/>
        <w:rPr>
          <w:rFonts w:ascii="宋体" w:hAnsi="宋体" w:eastAsia="宋体"/>
          <w:i w:val="0"/>
          <w:sz w:val="21"/>
          <w:szCs w:val="28"/>
        </w:rPr>
      </w:pPr>
      <w:r>
        <w:fldChar w:fldCharType="begin"/>
      </w:r>
      <w:r>
        <w:instrText xml:space="preserve"> HYPERLINK \l "_Toc501407861" </w:instrText>
      </w:r>
      <w:r>
        <w:fldChar w:fldCharType="separate"/>
      </w:r>
      <w:r>
        <w:rPr>
          <w:rFonts w:hint="eastAsia" w:ascii="宋体" w:hAnsi="宋体" w:eastAsia="宋体"/>
          <w:i w:val="0"/>
          <w:sz w:val="21"/>
          <w:szCs w:val="28"/>
        </w:rPr>
        <w:t>（三）抽样调查的</w:t>
      </w:r>
      <w:r>
        <w:rPr>
          <w:rFonts w:ascii="宋体" w:hAnsi="宋体" w:eastAsia="宋体"/>
          <w:i w:val="0"/>
          <w:sz w:val="21"/>
          <w:szCs w:val="28"/>
        </w:rPr>
        <w:t>2017</w:t>
      </w:r>
      <w:r>
        <w:rPr>
          <w:rFonts w:hint="eastAsia" w:ascii="宋体" w:hAnsi="宋体" w:eastAsia="宋体"/>
          <w:i w:val="0"/>
          <w:sz w:val="21"/>
          <w:szCs w:val="28"/>
        </w:rPr>
        <w:t>届毕业生对就业创业教育的评价</w:t>
      </w:r>
      <w:r>
        <w:rPr>
          <w:rFonts w:ascii="宋体" w:hAnsi="宋体" w:eastAsia="宋体"/>
          <w:i w:val="0"/>
          <w:sz w:val="21"/>
          <w:szCs w:val="28"/>
        </w:rPr>
        <w:tab/>
      </w:r>
      <w:r>
        <w:rPr>
          <w:rFonts w:ascii="宋体" w:hAnsi="宋体" w:eastAsia="宋体"/>
          <w:i w:val="0"/>
          <w:sz w:val="21"/>
          <w:szCs w:val="28"/>
        </w:rPr>
        <w:fldChar w:fldCharType="begin"/>
      </w:r>
      <w:r>
        <w:rPr>
          <w:rFonts w:ascii="宋体" w:hAnsi="宋体" w:eastAsia="宋体"/>
          <w:i w:val="0"/>
          <w:sz w:val="21"/>
          <w:szCs w:val="28"/>
        </w:rPr>
        <w:instrText xml:space="preserve"> PAGEREF _Toc501407861 \h </w:instrText>
      </w:r>
      <w:r>
        <w:rPr>
          <w:rFonts w:ascii="宋体" w:hAnsi="宋体" w:eastAsia="宋体"/>
          <w:i w:val="0"/>
          <w:sz w:val="21"/>
          <w:szCs w:val="28"/>
        </w:rPr>
        <w:fldChar w:fldCharType="separate"/>
      </w:r>
      <w:r>
        <w:rPr>
          <w:rFonts w:ascii="宋体" w:hAnsi="宋体" w:eastAsia="宋体"/>
          <w:i w:val="0"/>
          <w:sz w:val="21"/>
          <w:szCs w:val="28"/>
        </w:rPr>
        <w:t>40</w:t>
      </w:r>
      <w:r>
        <w:rPr>
          <w:rFonts w:ascii="宋体" w:hAnsi="宋体" w:eastAsia="宋体"/>
          <w:i w:val="0"/>
          <w:sz w:val="21"/>
          <w:szCs w:val="28"/>
        </w:rPr>
        <w:fldChar w:fldCharType="end"/>
      </w:r>
      <w:r>
        <w:rPr>
          <w:rFonts w:ascii="宋体" w:hAnsi="宋体" w:eastAsia="宋体"/>
          <w:i w:val="0"/>
          <w:sz w:val="21"/>
          <w:szCs w:val="28"/>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"_Toc501407862" </w:instrText>
      </w:r>
      <w:r>
        <w:fldChar w:fldCharType="separate"/>
      </w:r>
      <w:r>
        <w:rPr>
          <w:rFonts w:ascii="宋体" w:hAnsi="宋体"/>
          <w:bCs/>
          <w:smallCaps w:val="0"/>
          <w:sz w:val="21"/>
          <w:szCs w:val="24"/>
        </w:rPr>
        <w:t>1</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届毕业生就业教育及服务的参与情况和满意程度</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_Toc501407862 \h </w:instrText>
      </w:r>
      <w:r>
        <w:rPr>
          <w:rFonts w:ascii="宋体" w:hAnsi="宋体" w:eastAsia="宋体"/>
          <w:bCs/>
          <w:smallCaps w:val="0"/>
          <w:sz w:val="21"/>
          <w:szCs w:val="24"/>
        </w:rPr>
        <w:fldChar w:fldCharType="separate"/>
      </w:r>
      <w:r>
        <w:rPr>
          <w:rFonts w:ascii="宋体" w:hAnsi="宋体" w:eastAsia="宋体"/>
          <w:bCs/>
          <w:smallCaps w:val="0"/>
          <w:sz w:val="21"/>
          <w:szCs w:val="24"/>
        </w:rPr>
        <w:t>40</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"_Toc501407863" </w:instrText>
      </w:r>
      <w:r>
        <w:fldChar w:fldCharType="separate"/>
      </w:r>
      <w:r>
        <w:rPr>
          <w:rFonts w:ascii="宋体" w:hAnsi="宋体"/>
          <w:bCs/>
          <w:smallCaps w:val="0"/>
          <w:sz w:val="21"/>
          <w:szCs w:val="24"/>
        </w:rPr>
        <w:t>2</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届毕业生创业教育及服务的参与情况和满意程度</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_Toc501407863 \h </w:instrText>
      </w:r>
      <w:r>
        <w:rPr>
          <w:rFonts w:ascii="宋体" w:hAnsi="宋体" w:eastAsia="宋体"/>
          <w:bCs/>
          <w:smallCaps w:val="0"/>
          <w:sz w:val="21"/>
          <w:szCs w:val="24"/>
        </w:rPr>
        <w:fldChar w:fldCharType="separate"/>
      </w:r>
      <w:r>
        <w:rPr>
          <w:rFonts w:ascii="宋体" w:hAnsi="宋体" w:eastAsia="宋体"/>
          <w:bCs/>
          <w:smallCaps w:val="0"/>
          <w:sz w:val="21"/>
          <w:szCs w:val="24"/>
        </w:rPr>
        <w:t>41</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"_Toc501407864" </w:instrText>
      </w:r>
      <w:r>
        <w:fldChar w:fldCharType="separate"/>
      </w:r>
      <w:r>
        <w:rPr>
          <w:rFonts w:ascii="宋体" w:hAnsi="宋体"/>
          <w:bCs/>
          <w:smallCaps w:val="0"/>
          <w:sz w:val="21"/>
          <w:szCs w:val="24"/>
        </w:rPr>
        <w:t>3</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届毕业生创业计划</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_Toc501407864 \h </w:instrText>
      </w:r>
      <w:r>
        <w:rPr>
          <w:rFonts w:ascii="宋体" w:hAnsi="宋体" w:eastAsia="宋体"/>
          <w:bCs/>
          <w:smallCaps w:val="0"/>
          <w:sz w:val="21"/>
          <w:szCs w:val="24"/>
        </w:rPr>
        <w:fldChar w:fldCharType="separate"/>
      </w:r>
      <w:r>
        <w:rPr>
          <w:rFonts w:ascii="宋体" w:hAnsi="宋体" w:eastAsia="宋体"/>
          <w:bCs/>
          <w:smallCaps w:val="0"/>
          <w:sz w:val="21"/>
          <w:szCs w:val="24"/>
        </w:rPr>
        <w:t>41</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"_Toc501407865" </w:instrText>
      </w:r>
      <w:r>
        <w:fldChar w:fldCharType="separate"/>
      </w:r>
      <w:r>
        <w:rPr>
          <w:rFonts w:ascii="宋体" w:hAnsi="宋体"/>
          <w:bCs/>
          <w:smallCaps w:val="0"/>
          <w:sz w:val="21"/>
          <w:szCs w:val="24"/>
        </w:rPr>
        <w:t>4</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届毕业生接受了学校的创业教育后的最大收获</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_Toc501407865 \h </w:instrText>
      </w:r>
      <w:r>
        <w:rPr>
          <w:rFonts w:ascii="宋体" w:hAnsi="宋体" w:eastAsia="宋体"/>
          <w:bCs/>
          <w:smallCaps w:val="0"/>
          <w:sz w:val="21"/>
          <w:szCs w:val="24"/>
        </w:rPr>
        <w:fldChar w:fldCharType="separate"/>
      </w:r>
      <w:r>
        <w:rPr>
          <w:rFonts w:ascii="宋体" w:hAnsi="宋体" w:eastAsia="宋体"/>
          <w:bCs/>
          <w:smallCaps w:val="0"/>
          <w:sz w:val="21"/>
          <w:szCs w:val="24"/>
        </w:rPr>
        <w:t>42</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4"/>
        <w:tabs>
          <w:tab w:val="right" w:leader="dot" w:pos="8306"/>
          <w:tab w:val="clear" w:pos="8777"/>
        </w:tabs>
        <w:rPr>
          <w:rFonts w:ascii="宋体" w:hAnsi="宋体" w:eastAsia="宋体" w:cs="Times New Roman"/>
          <w:b w:val="0"/>
          <w:caps w:val="0"/>
          <w:sz w:val="21"/>
        </w:rPr>
      </w:pPr>
      <w:r>
        <w:fldChar w:fldCharType="begin"/>
      </w:r>
      <w:r>
        <w:instrText xml:space="preserve"> HYPERLINK \l "_Toc501407866" </w:instrText>
      </w:r>
      <w:r>
        <w:fldChar w:fldCharType="separate"/>
      </w:r>
      <w:r>
        <w:rPr>
          <w:rFonts w:hint="eastAsia" w:ascii="宋体" w:hAnsi="宋体" w:eastAsia="宋体"/>
          <w:b w:val="0"/>
          <w:caps w:val="0"/>
          <w:sz w:val="21"/>
        </w:rPr>
        <w:t>第四章</w:t>
      </w:r>
      <w:r>
        <w:rPr>
          <w:rFonts w:ascii="宋体" w:hAnsi="宋体" w:eastAsia="宋体"/>
          <w:b w:val="0"/>
          <w:caps w:val="0"/>
          <w:sz w:val="21"/>
        </w:rPr>
        <w:t xml:space="preserve"> </w:t>
      </w:r>
      <w:r>
        <w:rPr>
          <w:rFonts w:hint="eastAsia" w:ascii="宋体" w:hAnsi="宋体" w:eastAsia="宋体"/>
          <w:b w:val="0"/>
          <w:caps w:val="0"/>
          <w:sz w:val="21"/>
        </w:rPr>
        <w:t>抽样调查学生求职意向和落实情况</w:t>
      </w:r>
      <w:r>
        <w:rPr>
          <w:rFonts w:ascii="宋体" w:hAnsi="宋体" w:eastAsia="宋体" w:cs="Times New Roman"/>
          <w:b w:val="0"/>
          <w:caps w:val="0"/>
          <w:sz w:val="21"/>
        </w:rPr>
        <w:tab/>
      </w:r>
      <w:r>
        <w:rPr>
          <w:rFonts w:ascii="宋体" w:hAnsi="宋体" w:eastAsia="宋体" w:cs="Times New Roman"/>
          <w:b w:val="0"/>
          <w:caps w:val="0"/>
          <w:sz w:val="21"/>
        </w:rPr>
        <w:fldChar w:fldCharType="begin"/>
      </w:r>
      <w:r>
        <w:rPr>
          <w:rFonts w:ascii="宋体" w:hAnsi="宋体" w:eastAsia="宋体" w:cs="Times New Roman"/>
          <w:b w:val="0"/>
          <w:caps w:val="0"/>
          <w:sz w:val="21"/>
        </w:rPr>
        <w:instrText xml:space="preserve"> PAGEREF _Toc501407866 \h </w:instrText>
      </w:r>
      <w:r>
        <w:rPr>
          <w:rFonts w:ascii="宋体" w:hAnsi="宋体" w:eastAsia="宋体" w:cs="Times New Roman"/>
          <w:b w:val="0"/>
          <w:caps w:val="0"/>
          <w:sz w:val="21"/>
        </w:rPr>
        <w:fldChar w:fldCharType="separate"/>
      </w:r>
      <w:r>
        <w:rPr>
          <w:rFonts w:ascii="宋体" w:hAnsi="宋体" w:eastAsia="宋体" w:cs="Times New Roman"/>
          <w:b w:val="0"/>
          <w:caps w:val="0"/>
          <w:sz w:val="21"/>
        </w:rPr>
        <w:t>43</w:t>
      </w:r>
      <w:r>
        <w:rPr>
          <w:rFonts w:ascii="宋体" w:hAnsi="宋体" w:eastAsia="宋体" w:cs="Times New Roman"/>
          <w:b w:val="0"/>
          <w:caps w:val="0"/>
          <w:sz w:val="21"/>
        </w:rPr>
        <w:fldChar w:fldCharType="end"/>
      </w:r>
      <w:r>
        <w:rPr>
          <w:rFonts w:ascii="宋体" w:hAnsi="宋体" w:eastAsia="宋体" w:cs="Times New Roman"/>
          <w:b w:val="0"/>
          <w:caps w:val="0"/>
          <w:sz w:val="21"/>
        </w:rPr>
        <w:fldChar w:fldCharType="end"/>
      </w:r>
    </w:p>
    <w:p>
      <w:pPr>
        <w:pStyle w:val="19"/>
        <w:tabs>
          <w:tab w:val="right" w:leader="dot" w:pos="8296"/>
        </w:tabs>
        <w:spacing w:before="100" w:after="100"/>
        <w:ind w:firstLine="200" w:firstLineChars="100"/>
        <w:rPr>
          <w:rFonts w:ascii="宋体" w:hAnsi="宋体" w:eastAsia="宋体" w:cs="Times New Roman"/>
          <w:smallCaps w:val="0"/>
          <w:sz w:val="21"/>
        </w:rPr>
      </w:pPr>
      <w:r>
        <w:fldChar w:fldCharType="begin"/>
      </w:r>
      <w:r>
        <w:instrText xml:space="preserve"> HYPERLINK \l "_Toc501407867" </w:instrText>
      </w:r>
      <w:r>
        <w:fldChar w:fldCharType="separate"/>
      </w:r>
      <w:r>
        <w:rPr>
          <w:rFonts w:hint="eastAsia" w:ascii="宋体" w:hAnsi="宋体" w:eastAsia="宋体"/>
          <w:smallCaps w:val="0"/>
          <w:sz w:val="21"/>
        </w:rPr>
        <w:t>一、抽样调查的</w:t>
      </w:r>
      <w:r>
        <w:rPr>
          <w:rFonts w:ascii="宋体" w:hAnsi="宋体" w:eastAsia="宋体"/>
          <w:smallCaps w:val="0"/>
          <w:sz w:val="21"/>
        </w:rPr>
        <w:t>2017</w:t>
      </w:r>
      <w:r>
        <w:rPr>
          <w:rFonts w:hint="eastAsia" w:ascii="宋体" w:hAnsi="宋体" w:eastAsia="宋体"/>
          <w:smallCaps w:val="0"/>
          <w:sz w:val="21"/>
        </w:rPr>
        <w:t>届毕业生求职意向情况</w:t>
      </w:r>
      <w:r>
        <w:rPr>
          <w:rFonts w:ascii="宋体" w:hAnsi="宋体" w:eastAsia="宋体" w:cs="Times New Roman"/>
          <w:smallCaps w:val="0"/>
          <w:sz w:val="21"/>
        </w:rPr>
        <w:tab/>
      </w:r>
      <w:r>
        <w:rPr>
          <w:rFonts w:ascii="宋体" w:hAnsi="宋体" w:eastAsia="宋体" w:cs="Times New Roman"/>
          <w:smallCaps w:val="0"/>
          <w:sz w:val="21"/>
        </w:rPr>
        <w:fldChar w:fldCharType="begin"/>
      </w:r>
      <w:r>
        <w:rPr>
          <w:rFonts w:ascii="宋体" w:hAnsi="宋体" w:eastAsia="宋体" w:cs="Times New Roman"/>
          <w:smallCaps w:val="0"/>
          <w:sz w:val="21"/>
        </w:rPr>
        <w:instrText xml:space="preserve"> PAGEREF _Toc501407867 \h </w:instrText>
      </w:r>
      <w:r>
        <w:rPr>
          <w:rFonts w:ascii="宋体" w:hAnsi="宋体" w:eastAsia="宋体" w:cs="Times New Roman"/>
          <w:smallCaps w:val="0"/>
          <w:sz w:val="21"/>
        </w:rPr>
        <w:fldChar w:fldCharType="separate"/>
      </w:r>
      <w:r>
        <w:rPr>
          <w:rFonts w:ascii="宋体" w:hAnsi="宋体" w:eastAsia="宋体" w:cs="Times New Roman"/>
          <w:smallCaps w:val="0"/>
          <w:sz w:val="21"/>
        </w:rPr>
        <w:t>43</w:t>
      </w:r>
      <w:r>
        <w:rPr>
          <w:rFonts w:ascii="宋体" w:hAnsi="宋体" w:eastAsia="宋体" w:cs="Times New Roman"/>
          <w:smallCaps w:val="0"/>
          <w:sz w:val="21"/>
        </w:rPr>
        <w:fldChar w:fldCharType="end"/>
      </w:r>
      <w:r>
        <w:rPr>
          <w:rFonts w:ascii="宋体" w:hAnsi="宋体" w:eastAsia="宋体" w:cs="Times New Roman"/>
          <w:smallCaps w:val="0"/>
          <w:sz w:val="21"/>
        </w:rPr>
        <w:fldChar w:fldCharType="end"/>
      </w:r>
    </w:p>
    <w:p>
      <w:pPr>
        <w:pStyle w:val="9"/>
        <w:tabs>
          <w:tab w:val="right" w:leader="dot" w:pos="8296"/>
        </w:tabs>
        <w:spacing w:before="80" w:after="80"/>
        <w:ind w:firstLine="300" w:firstLineChars="150"/>
        <w:rPr>
          <w:rFonts w:ascii="宋体" w:hAnsi="宋体" w:eastAsia="宋体"/>
          <w:i w:val="0"/>
          <w:sz w:val="21"/>
          <w:szCs w:val="28"/>
        </w:rPr>
      </w:pPr>
      <w:r>
        <w:fldChar w:fldCharType="begin"/>
      </w:r>
      <w:r>
        <w:instrText xml:space="preserve"> HYPERLINK \l "_Toc501407868" </w:instrText>
      </w:r>
      <w:r>
        <w:fldChar w:fldCharType="separate"/>
      </w:r>
      <w:r>
        <w:rPr>
          <w:rFonts w:hint="eastAsia" w:ascii="宋体" w:hAnsi="宋体" w:eastAsia="宋体"/>
          <w:i w:val="0"/>
          <w:sz w:val="21"/>
          <w:szCs w:val="28"/>
        </w:rPr>
        <w:t>（一）抽样调查的</w:t>
      </w:r>
      <w:r>
        <w:rPr>
          <w:rFonts w:ascii="宋体" w:hAnsi="宋体" w:eastAsia="宋体"/>
          <w:i w:val="0"/>
          <w:sz w:val="21"/>
          <w:szCs w:val="28"/>
        </w:rPr>
        <w:t>2017</w:t>
      </w:r>
      <w:r>
        <w:rPr>
          <w:rFonts w:hint="eastAsia" w:ascii="宋体" w:hAnsi="宋体" w:eastAsia="宋体"/>
          <w:i w:val="0"/>
          <w:sz w:val="21"/>
          <w:szCs w:val="28"/>
        </w:rPr>
        <w:t>届毕业生所期望的工作情况</w:t>
      </w:r>
      <w:r>
        <w:rPr>
          <w:rFonts w:ascii="宋体" w:hAnsi="宋体" w:eastAsia="宋体"/>
          <w:i w:val="0"/>
          <w:sz w:val="21"/>
          <w:szCs w:val="28"/>
        </w:rPr>
        <w:tab/>
      </w:r>
      <w:r>
        <w:rPr>
          <w:rFonts w:ascii="宋体" w:hAnsi="宋体" w:eastAsia="宋体"/>
          <w:i w:val="0"/>
          <w:sz w:val="21"/>
          <w:szCs w:val="28"/>
        </w:rPr>
        <w:fldChar w:fldCharType="begin"/>
      </w:r>
      <w:r>
        <w:rPr>
          <w:rFonts w:ascii="宋体" w:hAnsi="宋体" w:eastAsia="宋体"/>
          <w:i w:val="0"/>
          <w:sz w:val="21"/>
          <w:szCs w:val="28"/>
        </w:rPr>
        <w:instrText xml:space="preserve"> PAGEREF _Toc501407868 \h </w:instrText>
      </w:r>
      <w:r>
        <w:rPr>
          <w:rFonts w:ascii="宋体" w:hAnsi="宋体" w:eastAsia="宋体"/>
          <w:i w:val="0"/>
          <w:sz w:val="21"/>
          <w:szCs w:val="28"/>
        </w:rPr>
        <w:fldChar w:fldCharType="separate"/>
      </w:r>
      <w:r>
        <w:rPr>
          <w:rFonts w:ascii="宋体" w:hAnsi="宋体" w:eastAsia="宋体"/>
          <w:i w:val="0"/>
          <w:sz w:val="21"/>
          <w:szCs w:val="28"/>
        </w:rPr>
        <w:t>43</w:t>
      </w:r>
      <w:r>
        <w:rPr>
          <w:rFonts w:ascii="宋体" w:hAnsi="宋体" w:eastAsia="宋体"/>
          <w:i w:val="0"/>
          <w:sz w:val="21"/>
          <w:szCs w:val="28"/>
        </w:rPr>
        <w:fldChar w:fldCharType="end"/>
      </w:r>
      <w:r>
        <w:rPr>
          <w:rFonts w:ascii="宋体" w:hAnsi="宋体" w:eastAsia="宋体"/>
          <w:i w:val="0"/>
          <w:sz w:val="21"/>
          <w:szCs w:val="28"/>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"_Toc501407869" </w:instrText>
      </w:r>
      <w:r>
        <w:fldChar w:fldCharType="separate"/>
      </w:r>
      <w:r>
        <w:rPr>
          <w:rFonts w:ascii="宋体" w:hAnsi="宋体"/>
          <w:bCs/>
          <w:smallCaps w:val="0"/>
          <w:sz w:val="21"/>
          <w:szCs w:val="24"/>
        </w:rPr>
        <w:t>1</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届毕业生求职初始首选的工作地点</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_Toc501407869 \h </w:instrText>
      </w:r>
      <w:r>
        <w:rPr>
          <w:rFonts w:ascii="宋体" w:hAnsi="宋体" w:eastAsia="宋体"/>
          <w:bCs/>
          <w:smallCaps w:val="0"/>
          <w:sz w:val="21"/>
          <w:szCs w:val="24"/>
        </w:rPr>
        <w:fldChar w:fldCharType="separate"/>
      </w:r>
      <w:r>
        <w:rPr>
          <w:rFonts w:ascii="宋体" w:hAnsi="宋体" w:eastAsia="宋体"/>
          <w:bCs/>
          <w:smallCaps w:val="0"/>
          <w:sz w:val="21"/>
          <w:szCs w:val="24"/>
        </w:rPr>
        <w:t>43</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"_Toc501407870" </w:instrText>
      </w:r>
      <w:r>
        <w:fldChar w:fldCharType="separate"/>
      </w:r>
      <w:r>
        <w:rPr>
          <w:rFonts w:ascii="宋体" w:hAnsi="宋体"/>
          <w:bCs/>
          <w:smallCaps w:val="0"/>
          <w:sz w:val="21"/>
          <w:szCs w:val="24"/>
        </w:rPr>
        <w:t>2</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届毕业生求职初始首选的行业</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_Toc501407870 \h </w:instrText>
      </w:r>
      <w:r>
        <w:rPr>
          <w:rFonts w:ascii="宋体" w:hAnsi="宋体" w:eastAsia="宋体"/>
          <w:bCs/>
          <w:smallCaps w:val="0"/>
          <w:sz w:val="21"/>
          <w:szCs w:val="24"/>
        </w:rPr>
        <w:fldChar w:fldCharType="separate"/>
      </w:r>
      <w:r>
        <w:rPr>
          <w:rFonts w:ascii="宋体" w:hAnsi="宋体" w:eastAsia="宋体"/>
          <w:bCs/>
          <w:smallCaps w:val="0"/>
          <w:sz w:val="21"/>
          <w:szCs w:val="24"/>
        </w:rPr>
        <w:t>44</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"_Toc501407871" </w:instrText>
      </w:r>
      <w:r>
        <w:fldChar w:fldCharType="separate"/>
      </w:r>
      <w:r>
        <w:rPr>
          <w:rFonts w:ascii="宋体" w:hAnsi="宋体"/>
          <w:bCs/>
          <w:smallCaps w:val="0"/>
          <w:sz w:val="21"/>
          <w:szCs w:val="24"/>
        </w:rPr>
        <w:t>3</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届毕业生求职初始首选的就业单位类型</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_Toc501407871 \h </w:instrText>
      </w:r>
      <w:r>
        <w:rPr>
          <w:rFonts w:ascii="宋体" w:hAnsi="宋体" w:eastAsia="宋体"/>
          <w:bCs/>
          <w:smallCaps w:val="0"/>
          <w:sz w:val="21"/>
          <w:szCs w:val="24"/>
        </w:rPr>
        <w:fldChar w:fldCharType="separate"/>
      </w:r>
      <w:r>
        <w:rPr>
          <w:rFonts w:ascii="宋体" w:hAnsi="宋体" w:eastAsia="宋体"/>
          <w:bCs/>
          <w:smallCaps w:val="0"/>
          <w:sz w:val="21"/>
          <w:szCs w:val="24"/>
        </w:rPr>
        <w:t>44</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"_Toc501407872" </w:instrText>
      </w:r>
      <w:r>
        <w:fldChar w:fldCharType="separate"/>
      </w:r>
      <w:r>
        <w:rPr>
          <w:rFonts w:ascii="宋体" w:hAnsi="宋体"/>
          <w:bCs/>
          <w:smallCaps w:val="0"/>
          <w:sz w:val="21"/>
          <w:szCs w:val="24"/>
        </w:rPr>
        <w:t>4</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届毕业生求职初始期望工作转正后的税前年薪</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_Toc501407872 \h </w:instrText>
      </w:r>
      <w:r>
        <w:rPr>
          <w:rFonts w:ascii="宋体" w:hAnsi="宋体" w:eastAsia="宋体"/>
          <w:bCs/>
          <w:smallCaps w:val="0"/>
          <w:sz w:val="21"/>
          <w:szCs w:val="24"/>
        </w:rPr>
        <w:fldChar w:fldCharType="separate"/>
      </w:r>
      <w:r>
        <w:rPr>
          <w:rFonts w:ascii="宋体" w:hAnsi="宋体" w:eastAsia="宋体"/>
          <w:bCs/>
          <w:smallCaps w:val="0"/>
          <w:sz w:val="21"/>
          <w:szCs w:val="24"/>
        </w:rPr>
        <w:t>45</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9"/>
        <w:tabs>
          <w:tab w:val="right" w:leader="dot" w:pos="8296"/>
        </w:tabs>
        <w:spacing w:before="80" w:after="80"/>
        <w:ind w:firstLine="300" w:firstLineChars="150"/>
        <w:rPr>
          <w:rFonts w:ascii="宋体" w:hAnsi="宋体" w:eastAsia="宋体"/>
          <w:i w:val="0"/>
          <w:sz w:val="21"/>
          <w:szCs w:val="28"/>
        </w:rPr>
      </w:pPr>
      <w:r>
        <w:fldChar w:fldCharType="begin"/>
      </w:r>
      <w:r>
        <w:instrText xml:space="preserve"> HYPERLINK \l "_Toc501407873" </w:instrText>
      </w:r>
      <w:r>
        <w:fldChar w:fldCharType="separate"/>
      </w:r>
      <w:r>
        <w:rPr>
          <w:rFonts w:hint="eastAsia" w:ascii="宋体" w:hAnsi="宋体" w:eastAsia="宋体"/>
          <w:i w:val="0"/>
          <w:sz w:val="21"/>
          <w:szCs w:val="28"/>
        </w:rPr>
        <w:t>（二）抽样调查的</w:t>
      </w:r>
      <w:r>
        <w:rPr>
          <w:rFonts w:ascii="宋体" w:hAnsi="宋体" w:eastAsia="宋体"/>
          <w:i w:val="0"/>
          <w:sz w:val="21"/>
          <w:szCs w:val="28"/>
        </w:rPr>
        <w:t>2017</w:t>
      </w:r>
      <w:r>
        <w:rPr>
          <w:rFonts w:hint="eastAsia" w:ascii="宋体" w:hAnsi="宋体" w:eastAsia="宋体"/>
          <w:i w:val="0"/>
          <w:sz w:val="21"/>
          <w:szCs w:val="28"/>
        </w:rPr>
        <w:t>届毕业生就业落实过程情况调查</w:t>
      </w:r>
      <w:r>
        <w:rPr>
          <w:rFonts w:ascii="宋体" w:hAnsi="宋体" w:eastAsia="宋体"/>
          <w:i w:val="0"/>
          <w:sz w:val="21"/>
          <w:szCs w:val="28"/>
        </w:rPr>
        <w:tab/>
      </w:r>
      <w:r>
        <w:rPr>
          <w:rFonts w:ascii="宋体" w:hAnsi="宋体" w:eastAsia="宋体"/>
          <w:i w:val="0"/>
          <w:sz w:val="21"/>
          <w:szCs w:val="28"/>
        </w:rPr>
        <w:fldChar w:fldCharType="begin"/>
      </w:r>
      <w:r>
        <w:rPr>
          <w:rFonts w:ascii="宋体" w:hAnsi="宋体" w:eastAsia="宋体"/>
          <w:i w:val="0"/>
          <w:sz w:val="21"/>
          <w:szCs w:val="28"/>
        </w:rPr>
        <w:instrText xml:space="preserve"> PAGEREF _Toc501407873 \h </w:instrText>
      </w:r>
      <w:r>
        <w:rPr>
          <w:rFonts w:ascii="宋体" w:hAnsi="宋体" w:eastAsia="宋体"/>
          <w:i w:val="0"/>
          <w:sz w:val="21"/>
          <w:szCs w:val="28"/>
        </w:rPr>
        <w:fldChar w:fldCharType="separate"/>
      </w:r>
      <w:r>
        <w:rPr>
          <w:rFonts w:ascii="宋体" w:hAnsi="宋体" w:eastAsia="宋体"/>
          <w:i w:val="0"/>
          <w:sz w:val="21"/>
          <w:szCs w:val="28"/>
        </w:rPr>
        <w:t>45</w:t>
      </w:r>
      <w:r>
        <w:rPr>
          <w:rFonts w:ascii="宋体" w:hAnsi="宋体" w:eastAsia="宋体"/>
          <w:i w:val="0"/>
          <w:sz w:val="21"/>
          <w:szCs w:val="28"/>
        </w:rPr>
        <w:fldChar w:fldCharType="end"/>
      </w:r>
      <w:r>
        <w:rPr>
          <w:rFonts w:ascii="宋体" w:hAnsi="宋体" w:eastAsia="宋体"/>
          <w:i w:val="0"/>
          <w:sz w:val="21"/>
          <w:szCs w:val="28"/>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"_Toc501407874" </w:instrText>
      </w:r>
      <w:r>
        <w:fldChar w:fldCharType="separate"/>
      </w:r>
      <w:r>
        <w:rPr>
          <w:rFonts w:ascii="宋体" w:hAnsi="宋体"/>
          <w:bCs/>
          <w:smallCaps w:val="0"/>
          <w:sz w:val="21"/>
          <w:szCs w:val="24"/>
        </w:rPr>
        <w:t>1</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届毕业生求职过程投递简历与面试情况</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_Toc501407874 \h </w:instrText>
      </w:r>
      <w:r>
        <w:rPr>
          <w:rFonts w:ascii="宋体" w:hAnsi="宋体" w:eastAsia="宋体"/>
          <w:bCs/>
          <w:smallCaps w:val="0"/>
          <w:sz w:val="21"/>
          <w:szCs w:val="24"/>
        </w:rPr>
        <w:fldChar w:fldCharType="separate"/>
      </w:r>
      <w:r>
        <w:rPr>
          <w:rFonts w:ascii="宋体" w:hAnsi="宋体" w:eastAsia="宋体"/>
          <w:bCs/>
          <w:smallCaps w:val="0"/>
          <w:sz w:val="21"/>
          <w:szCs w:val="24"/>
        </w:rPr>
        <w:t>45</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"_Toc501407875" </w:instrText>
      </w:r>
      <w:r>
        <w:fldChar w:fldCharType="separate"/>
      </w:r>
      <w:r>
        <w:rPr>
          <w:rFonts w:ascii="宋体" w:hAnsi="宋体"/>
          <w:bCs/>
          <w:smallCaps w:val="0"/>
          <w:sz w:val="21"/>
          <w:szCs w:val="24"/>
        </w:rPr>
        <w:t>2</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届毕业生求职过程中的积极程度</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_Toc501407875 \h </w:instrText>
      </w:r>
      <w:r>
        <w:rPr>
          <w:rFonts w:ascii="宋体" w:hAnsi="宋体" w:eastAsia="宋体"/>
          <w:bCs/>
          <w:smallCaps w:val="0"/>
          <w:sz w:val="21"/>
          <w:szCs w:val="24"/>
        </w:rPr>
        <w:fldChar w:fldCharType="separate"/>
      </w:r>
      <w:r>
        <w:rPr>
          <w:rFonts w:ascii="宋体" w:hAnsi="宋体" w:eastAsia="宋体"/>
          <w:bCs/>
          <w:smallCaps w:val="0"/>
          <w:sz w:val="21"/>
          <w:szCs w:val="24"/>
        </w:rPr>
        <w:t>45</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"_Toc501407876" </w:instrText>
      </w:r>
      <w:r>
        <w:fldChar w:fldCharType="separate"/>
      </w:r>
      <w:r>
        <w:rPr>
          <w:rFonts w:ascii="宋体" w:hAnsi="宋体"/>
          <w:bCs/>
          <w:smallCaps w:val="0"/>
          <w:sz w:val="21"/>
          <w:szCs w:val="24"/>
        </w:rPr>
        <w:t>3</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届毕业生求职渠道</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_Toc501407876 \h </w:instrText>
      </w:r>
      <w:r>
        <w:rPr>
          <w:rFonts w:ascii="宋体" w:hAnsi="宋体" w:eastAsia="宋体"/>
          <w:bCs/>
          <w:smallCaps w:val="0"/>
          <w:sz w:val="21"/>
          <w:szCs w:val="24"/>
        </w:rPr>
        <w:fldChar w:fldCharType="separate"/>
      </w:r>
      <w:r>
        <w:rPr>
          <w:rFonts w:ascii="宋体" w:hAnsi="宋体" w:eastAsia="宋体"/>
          <w:bCs/>
          <w:smallCaps w:val="0"/>
          <w:sz w:val="21"/>
          <w:szCs w:val="24"/>
        </w:rPr>
        <w:t>46</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"_Toc501407877" </w:instrText>
      </w:r>
      <w:r>
        <w:fldChar w:fldCharType="separate"/>
      </w:r>
      <w:r>
        <w:rPr>
          <w:rFonts w:ascii="宋体" w:hAnsi="宋体"/>
          <w:bCs/>
          <w:smallCaps w:val="0"/>
          <w:sz w:val="21"/>
          <w:szCs w:val="24"/>
        </w:rPr>
        <w:t>4</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届毕业生求职价值观</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_Toc501407877 \h </w:instrText>
      </w:r>
      <w:r>
        <w:rPr>
          <w:rFonts w:ascii="宋体" w:hAnsi="宋体" w:eastAsia="宋体"/>
          <w:bCs/>
          <w:smallCaps w:val="0"/>
          <w:sz w:val="21"/>
          <w:szCs w:val="24"/>
        </w:rPr>
        <w:fldChar w:fldCharType="separate"/>
      </w:r>
      <w:r>
        <w:rPr>
          <w:rFonts w:ascii="宋体" w:hAnsi="宋体" w:eastAsia="宋体"/>
          <w:bCs/>
          <w:smallCaps w:val="0"/>
          <w:sz w:val="21"/>
          <w:szCs w:val="24"/>
        </w:rPr>
        <w:t>46</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100" w:after="100"/>
        <w:ind w:firstLine="200" w:firstLineChars="100"/>
        <w:rPr>
          <w:rFonts w:ascii="宋体" w:hAnsi="宋体" w:eastAsia="宋体" w:cs="Times New Roman"/>
          <w:smallCaps w:val="0"/>
          <w:sz w:val="21"/>
        </w:rPr>
      </w:pPr>
      <w:r>
        <w:fldChar w:fldCharType="begin"/>
      </w:r>
      <w:r>
        <w:instrText xml:space="preserve"> HYPERLINK \l "_Toc501407878" </w:instrText>
      </w:r>
      <w:r>
        <w:fldChar w:fldCharType="separate"/>
      </w:r>
      <w:r>
        <w:rPr>
          <w:rFonts w:hint="eastAsia" w:ascii="宋体" w:hAnsi="宋体" w:eastAsia="宋体"/>
          <w:smallCaps w:val="0"/>
          <w:sz w:val="21"/>
        </w:rPr>
        <w:t>二、抽样调查的</w:t>
      </w:r>
      <w:r>
        <w:rPr>
          <w:rFonts w:ascii="宋体" w:hAnsi="宋体" w:eastAsia="宋体"/>
          <w:smallCaps w:val="0"/>
          <w:sz w:val="21"/>
        </w:rPr>
        <w:t>2017</w:t>
      </w:r>
      <w:r>
        <w:rPr>
          <w:rFonts w:hint="eastAsia" w:ascii="宋体" w:hAnsi="宋体" w:eastAsia="宋体"/>
          <w:smallCaps w:val="0"/>
          <w:sz w:val="21"/>
        </w:rPr>
        <w:t>届毕业生就业落实情况</w:t>
      </w:r>
      <w:r>
        <w:rPr>
          <w:rFonts w:ascii="宋体" w:hAnsi="宋体" w:eastAsia="宋体" w:cs="Times New Roman"/>
          <w:smallCaps w:val="0"/>
          <w:sz w:val="21"/>
        </w:rPr>
        <w:tab/>
      </w:r>
      <w:r>
        <w:rPr>
          <w:rFonts w:ascii="宋体" w:hAnsi="宋体" w:eastAsia="宋体" w:cs="Times New Roman"/>
          <w:smallCaps w:val="0"/>
          <w:sz w:val="21"/>
        </w:rPr>
        <w:fldChar w:fldCharType="begin"/>
      </w:r>
      <w:r>
        <w:rPr>
          <w:rFonts w:ascii="宋体" w:hAnsi="宋体" w:eastAsia="宋体" w:cs="Times New Roman"/>
          <w:smallCaps w:val="0"/>
          <w:sz w:val="21"/>
        </w:rPr>
        <w:instrText xml:space="preserve"> PAGEREF _Toc501407878 \h </w:instrText>
      </w:r>
      <w:r>
        <w:rPr>
          <w:rFonts w:ascii="宋体" w:hAnsi="宋体" w:eastAsia="宋体" w:cs="Times New Roman"/>
          <w:smallCaps w:val="0"/>
          <w:sz w:val="21"/>
        </w:rPr>
        <w:fldChar w:fldCharType="separate"/>
      </w:r>
      <w:r>
        <w:rPr>
          <w:rFonts w:ascii="宋体" w:hAnsi="宋体" w:eastAsia="宋体" w:cs="Times New Roman"/>
          <w:smallCaps w:val="0"/>
          <w:sz w:val="21"/>
        </w:rPr>
        <w:t>47</w:t>
      </w:r>
      <w:r>
        <w:rPr>
          <w:rFonts w:ascii="宋体" w:hAnsi="宋体" w:eastAsia="宋体" w:cs="Times New Roman"/>
          <w:smallCaps w:val="0"/>
          <w:sz w:val="21"/>
        </w:rPr>
        <w:fldChar w:fldCharType="end"/>
      </w:r>
      <w:r>
        <w:rPr>
          <w:rFonts w:ascii="宋体" w:hAnsi="宋体" w:eastAsia="宋体" w:cs="Times New Roman"/>
          <w:smallCaps w:val="0"/>
          <w:sz w:val="21"/>
        </w:rPr>
        <w:fldChar w:fldCharType="end"/>
      </w:r>
    </w:p>
    <w:p>
      <w:pPr>
        <w:pStyle w:val="9"/>
        <w:tabs>
          <w:tab w:val="right" w:leader="dot" w:pos="8296"/>
        </w:tabs>
        <w:spacing w:before="80" w:after="80"/>
        <w:ind w:firstLine="300" w:firstLineChars="150"/>
        <w:rPr>
          <w:rFonts w:ascii="宋体" w:hAnsi="宋体" w:eastAsia="宋体"/>
          <w:i w:val="0"/>
          <w:sz w:val="21"/>
          <w:szCs w:val="28"/>
        </w:rPr>
      </w:pPr>
      <w:r>
        <w:fldChar w:fldCharType="begin"/>
      </w:r>
      <w:r>
        <w:instrText xml:space="preserve"> HYPERLINK \l "_Toc501407879" </w:instrText>
      </w:r>
      <w:r>
        <w:fldChar w:fldCharType="separate"/>
      </w:r>
      <w:r>
        <w:rPr>
          <w:rFonts w:hint="eastAsia" w:ascii="宋体" w:hAnsi="宋体" w:eastAsia="宋体"/>
          <w:i w:val="0"/>
          <w:sz w:val="21"/>
          <w:szCs w:val="28"/>
        </w:rPr>
        <w:t>（一）抽样调查的</w:t>
      </w:r>
      <w:r>
        <w:rPr>
          <w:rFonts w:ascii="宋体" w:hAnsi="宋体" w:eastAsia="宋体"/>
          <w:i w:val="0"/>
          <w:sz w:val="21"/>
          <w:szCs w:val="28"/>
        </w:rPr>
        <w:t>2017</w:t>
      </w:r>
      <w:r>
        <w:rPr>
          <w:rFonts w:hint="eastAsia" w:ascii="宋体" w:hAnsi="宋体" w:eastAsia="宋体"/>
          <w:i w:val="0"/>
          <w:sz w:val="21"/>
          <w:szCs w:val="28"/>
        </w:rPr>
        <w:t>届毕业生就业落实的相关情况</w:t>
      </w:r>
      <w:r>
        <w:rPr>
          <w:rFonts w:ascii="宋体" w:hAnsi="宋体" w:eastAsia="宋体"/>
          <w:i w:val="0"/>
          <w:sz w:val="21"/>
          <w:szCs w:val="28"/>
        </w:rPr>
        <w:tab/>
      </w:r>
      <w:r>
        <w:rPr>
          <w:rFonts w:ascii="宋体" w:hAnsi="宋体" w:eastAsia="宋体"/>
          <w:i w:val="0"/>
          <w:sz w:val="21"/>
          <w:szCs w:val="28"/>
        </w:rPr>
        <w:fldChar w:fldCharType="begin"/>
      </w:r>
      <w:r>
        <w:rPr>
          <w:rFonts w:ascii="宋体" w:hAnsi="宋体" w:eastAsia="宋体"/>
          <w:i w:val="0"/>
          <w:sz w:val="21"/>
          <w:szCs w:val="28"/>
        </w:rPr>
        <w:instrText xml:space="preserve"> PAGEREF _Toc501407879 \h </w:instrText>
      </w:r>
      <w:r>
        <w:rPr>
          <w:rFonts w:ascii="宋体" w:hAnsi="宋体" w:eastAsia="宋体"/>
          <w:i w:val="0"/>
          <w:sz w:val="21"/>
          <w:szCs w:val="28"/>
        </w:rPr>
        <w:fldChar w:fldCharType="separate"/>
      </w:r>
      <w:r>
        <w:rPr>
          <w:rFonts w:ascii="宋体" w:hAnsi="宋体" w:eastAsia="宋体"/>
          <w:i w:val="0"/>
          <w:sz w:val="21"/>
          <w:szCs w:val="28"/>
        </w:rPr>
        <w:t>47</w:t>
      </w:r>
      <w:r>
        <w:rPr>
          <w:rFonts w:ascii="宋体" w:hAnsi="宋体" w:eastAsia="宋体"/>
          <w:i w:val="0"/>
          <w:sz w:val="21"/>
          <w:szCs w:val="28"/>
        </w:rPr>
        <w:fldChar w:fldCharType="end"/>
      </w:r>
      <w:r>
        <w:rPr>
          <w:rFonts w:ascii="宋体" w:hAnsi="宋体" w:eastAsia="宋体"/>
          <w:i w:val="0"/>
          <w:sz w:val="21"/>
          <w:szCs w:val="28"/>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"_Toc501407880" </w:instrText>
      </w:r>
      <w:r>
        <w:fldChar w:fldCharType="separate"/>
      </w:r>
      <w:r>
        <w:rPr>
          <w:rFonts w:ascii="宋体" w:hAnsi="宋体"/>
          <w:bCs/>
          <w:smallCaps w:val="0"/>
          <w:sz w:val="21"/>
          <w:szCs w:val="24"/>
        </w:rPr>
        <w:t>1</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届毕业生已落实的就业单位地点</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_Toc501407880 \h </w:instrText>
      </w:r>
      <w:r>
        <w:rPr>
          <w:rFonts w:ascii="宋体" w:hAnsi="宋体" w:eastAsia="宋体"/>
          <w:bCs/>
          <w:smallCaps w:val="0"/>
          <w:sz w:val="21"/>
          <w:szCs w:val="24"/>
        </w:rPr>
        <w:fldChar w:fldCharType="separate"/>
      </w:r>
      <w:r>
        <w:rPr>
          <w:rFonts w:ascii="宋体" w:hAnsi="宋体" w:eastAsia="宋体"/>
          <w:bCs/>
          <w:smallCaps w:val="0"/>
          <w:sz w:val="21"/>
          <w:szCs w:val="24"/>
        </w:rPr>
        <w:t>47</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"_Toc501407881" </w:instrText>
      </w:r>
      <w:r>
        <w:fldChar w:fldCharType="separate"/>
      </w:r>
      <w:r>
        <w:rPr>
          <w:rFonts w:ascii="宋体" w:hAnsi="宋体"/>
          <w:bCs/>
          <w:smallCaps w:val="0"/>
          <w:sz w:val="21"/>
          <w:szCs w:val="24"/>
        </w:rPr>
        <w:t>2</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届毕业生已落实的就业单位行业</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_Toc501407881 \h </w:instrText>
      </w:r>
      <w:r>
        <w:rPr>
          <w:rFonts w:ascii="宋体" w:hAnsi="宋体" w:eastAsia="宋体"/>
          <w:bCs/>
          <w:smallCaps w:val="0"/>
          <w:sz w:val="21"/>
          <w:szCs w:val="24"/>
        </w:rPr>
        <w:fldChar w:fldCharType="separate"/>
      </w:r>
      <w:r>
        <w:rPr>
          <w:rFonts w:ascii="宋体" w:hAnsi="宋体" w:eastAsia="宋体"/>
          <w:bCs/>
          <w:smallCaps w:val="0"/>
          <w:sz w:val="21"/>
          <w:szCs w:val="24"/>
        </w:rPr>
        <w:t>48</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"_Toc501407882" </w:instrText>
      </w:r>
      <w:r>
        <w:fldChar w:fldCharType="separate"/>
      </w:r>
      <w:r>
        <w:rPr>
          <w:rFonts w:ascii="宋体" w:hAnsi="宋体"/>
          <w:bCs/>
          <w:smallCaps w:val="0"/>
          <w:sz w:val="21"/>
          <w:szCs w:val="24"/>
        </w:rPr>
        <w:t>3</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届毕业生已落实的就业单位类型</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_Toc501407882 \h </w:instrText>
      </w:r>
      <w:r>
        <w:rPr>
          <w:rFonts w:ascii="宋体" w:hAnsi="宋体" w:eastAsia="宋体"/>
          <w:bCs/>
          <w:smallCaps w:val="0"/>
          <w:sz w:val="21"/>
          <w:szCs w:val="24"/>
        </w:rPr>
        <w:fldChar w:fldCharType="separate"/>
      </w:r>
      <w:r>
        <w:rPr>
          <w:rFonts w:ascii="宋体" w:hAnsi="宋体" w:eastAsia="宋体"/>
          <w:bCs/>
          <w:smallCaps w:val="0"/>
          <w:sz w:val="21"/>
          <w:szCs w:val="24"/>
        </w:rPr>
        <w:t>49</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"_Toc501407883" </w:instrText>
      </w:r>
      <w:r>
        <w:fldChar w:fldCharType="separate"/>
      </w:r>
      <w:r>
        <w:rPr>
          <w:rFonts w:ascii="宋体" w:hAnsi="宋体"/>
          <w:bCs/>
          <w:smallCaps w:val="0"/>
          <w:sz w:val="21"/>
          <w:szCs w:val="24"/>
        </w:rPr>
        <w:t>4</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届毕业生落实工作所用时间及录用邀请数</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_Toc501407883 \h </w:instrText>
      </w:r>
      <w:r>
        <w:rPr>
          <w:rFonts w:ascii="宋体" w:hAnsi="宋体" w:eastAsia="宋体"/>
          <w:bCs/>
          <w:smallCaps w:val="0"/>
          <w:sz w:val="21"/>
          <w:szCs w:val="24"/>
        </w:rPr>
        <w:fldChar w:fldCharType="separate"/>
      </w:r>
      <w:r>
        <w:rPr>
          <w:rFonts w:ascii="宋体" w:hAnsi="宋体" w:eastAsia="宋体"/>
          <w:bCs/>
          <w:smallCaps w:val="0"/>
          <w:sz w:val="21"/>
          <w:szCs w:val="24"/>
        </w:rPr>
        <w:t>49</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9"/>
        <w:tabs>
          <w:tab w:val="right" w:leader="dot" w:pos="8296"/>
        </w:tabs>
        <w:spacing w:before="80" w:after="80"/>
        <w:ind w:firstLine="300" w:firstLineChars="150"/>
        <w:rPr>
          <w:rFonts w:ascii="宋体" w:hAnsi="宋体" w:eastAsia="宋体"/>
          <w:i w:val="0"/>
          <w:sz w:val="21"/>
          <w:szCs w:val="28"/>
        </w:rPr>
      </w:pPr>
      <w:r>
        <w:fldChar w:fldCharType="begin"/>
      </w:r>
      <w:r>
        <w:instrText xml:space="preserve"> HYPERLINK \l "_Toc501407884" </w:instrText>
      </w:r>
      <w:r>
        <w:fldChar w:fldCharType="separate"/>
      </w:r>
      <w:r>
        <w:rPr>
          <w:rFonts w:hint="eastAsia" w:ascii="宋体" w:hAnsi="宋体" w:eastAsia="宋体"/>
          <w:i w:val="0"/>
          <w:sz w:val="21"/>
          <w:szCs w:val="28"/>
        </w:rPr>
        <w:t>（二）抽样调查的</w:t>
      </w:r>
      <w:r>
        <w:rPr>
          <w:rFonts w:ascii="宋体" w:hAnsi="宋体" w:eastAsia="宋体"/>
          <w:i w:val="0"/>
          <w:sz w:val="21"/>
          <w:szCs w:val="28"/>
        </w:rPr>
        <w:t>2017</w:t>
      </w:r>
      <w:r>
        <w:rPr>
          <w:rFonts w:hint="eastAsia" w:ascii="宋体" w:hAnsi="宋体" w:eastAsia="宋体"/>
          <w:i w:val="0"/>
          <w:sz w:val="21"/>
          <w:szCs w:val="28"/>
        </w:rPr>
        <w:t>届毕业生就业与专业相关程度</w:t>
      </w:r>
      <w:r>
        <w:rPr>
          <w:rFonts w:ascii="宋体" w:hAnsi="宋体" w:eastAsia="宋体"/>
          <w:i w:val="0"/>
          <w:sz w:val="21"/>
          <w:szCs w:val="28"/>
        </w:rPr>
        <w:tab/>
      </w:r>
      <w:r>
        <w:rPr>
          <w:rFonts w:ascii="宋体" w:hAnsi="宋体" w:eastAsia="宋体"/>
          <w:i w:val="0"/>
          <w:sz w:val="21"/>
          <w:szCs w:val="28"/>
        </w:rPr>
        <w:fldChar w:fldCharType="begin"/>
      </w:r>
      <w:r>
        <w:rPr>
          <w:rFonts w:ascii="宋体" w:hAnsi="宋体" w:eastAsia="宋体"/>
          <w:i w:val="0"/>
          <w:sz w:val="21"/>
          <w:szCs w:val="28"/>
        </w:rPr>
        <w:instrText xml:space="preserve"> PAGEREF _Toc501407884 \h </w:instrText>
      </w:r>
      <w:r>
        <w:rPr>
          <w:rFonts w:ascii="宋体" w:hAnsi="宋体" w:eastAsia="宋体"/>
          <w:i w:val="0"/>
          <w:sz w:val="21"/>
          <w:szCs w:val="28"/>
        </w:rPr>
        <w:fldChar w:fldCharType="separate"/>
      </w:r>
      <w:r>
        <w:rPr>
          <w:rFonts w:ascii="宋体" w:hAnsi="宋体" w:eastAsia="宋体"/>
          <w:i w:val="0"/>
          <w:sz w:val="21"/>
          <w:szCs w:val="28"/>
        </w:rPr>
        <w:t>49</w:t>
      </w:r>
      <w:r>
        <w:rPr>
          <w:rFonts w:ascii="宋体" w:hAnsi="宋体" w:eastAsia="宋体"/>
          <w:i w:val="0"/>
          <w:sz w:val="21"/>
          <w:szCs w:val="28"/>
        </w:rPr>
        <w:fldChar w:fldCharType="end"/>
      </w:r>
      <w:r>
        <w:rPr>
          <w:rFonts w:ascii="宋体" w:hAnsi="宋体" w:eastAsia="宋体"/>
          <w:i w:val="0"/>
          <w:sz w:val="21"/>
          <w:szCs w:val="28"/>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"_Toc501407885" </w:instrText>
      </w:r>
      <w:r>
        <w:fldChar w:fldCharType="separate"/>
      </w:r>
      <w:r>
        <w:rPr>
          <w:rFonts w:ascii="宋体" w:hAnsi="宋体"/>
          <w:bCs/>
          <w:smallCaps w:val="0"/>
          <w:sz w:val="21"/>
          <w:szCs w:val="24"/>
        </w:rPr>
        <w:t>1</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届毕业生所学专业与落实工作的相关程度</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_Toc501407885 \h </w:instrText>
      </w:r>
      <w:r>
        <w:rPr>
          <w:rFonts w:ascii="宋体" w:hAnsi="宋体" w:eastAsia="宋体"/>
          <w:bCs/>
          <w:smallCaps w:val="0"/>
          <w:sz w:val="21"/>
          <w:szCs w:val="24"/>
        </w:rPr>
        <w:fldChar w:fldCharType="separate"/>
      </w:r>
      <w:r>
        <w:rPr>
          <w:rFonts w:ascii="宋体" w:hAnsi="宋体" w:eastAsia="宋体"/>
          <w:bCs/>
          <w:smallCaps w:val="0"/>
          <w:sz w:val="21"/>
          <w:szCs w:val="24"/>
        </w:rPr>
        <w:t>49</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"_Toc501407886" </w:instrText>
      </w:r>
      <w:r>
        <w:fldChar w:fldCharType="separate"/>
      </w:r>
      <w:r>
        <w:rPr>
          <w:rFonts w:ascii="宋体" w:hAnsi="宋体"/>
          <w:bCs/>
          <w:smallCaps w:val="0"/>
          <w:sz w:val="21"/>
          <w:szCs w:val="24"/>
        </w:rPr>
        <w:t>2</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届毕业生学历层次与落实岗位要求的匹配情况</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_Toc501407886 \h </w:instrText>
      </w:r>
      <w:r>
        <w:rPr>
          <w:rFonts w:ascii="宋体" w:hAnsi="宋体" w:eastAsia="宋体"/>
          <w:bCs/>
          <w:smallCaps w:val="0"/>
          <w:sz w:val="21"/>
          <w:szCs w:val="24"/>
        </w:rPr>
        <w:fldChar w:fldCharType="separate"/>
      </w:r>
      <w:r>
        <w:rPr>
          <w:rFonts w:ascii="宋体" w:hAnsi="宋体" w:eastAsia="宋体"/>
          <w:bCs/>
          <w:smallCaps w:val="0"/>
          <w:sz w:val="21"/>
          <w:szCs w:val="24"/>
        </w:rPr>
        <w:t>50</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9"/>
        <w:tabs>
          <w:tab w:val="right" w:leader="dot" w:pos="8296"/>
        </w:tabs>
        <w:spacing w:before="80" w:after="80"/>
        <w:ind w:firstLine="300" w:firstLineChars="150"/>
        <w:rPr>
          <w:rFonts w:ascii="宋体" w:hAnsi="宋体" w:eastAsia="宋体"/>
          <w:i w:val="0"/>
          <w:sz w:val="21"/>
          <w:szCs w:val="28"/>
        </w:rPr>
      </w:pPr>
      <w:r>
        <w:fldChar w:fldCharType="begin"/>
      </w:r>
      <w:r>
        <w:instrText xml:space="preserve"> HYPERLINK \l "_Toc501407887" </w:instrText>
      </w:r>
      <w:r>
        <w:fldChar w:fldCharType="separate"/>
      </w:r>
      <w:r>
        <w:rPr>
          <w:rFonts w:hint="eastAsia" w:ascii="宋体" w:hAnsi="宋体" w:eastAsia="宋体"/>
          <w:i w:val="0"/>
          <w:sz w:val="21"/>
          <w:szCs w:val="28"/>
        </w:rPr>
        <w:t>（三）抽样调查的</w:t>
      </w:r>
      <w:r>
        <w:rPr>
          <w:rFonts w:ascii="宋体" w:hAnsi="宋体" w:eastAsia="宋体"/>
          <w:i w:val="0"/>
          <w:sz w:val="21"/>
          <w:szCs w:val="28"/>
        </w:rPr>
        <w:t>2017</w:t>
      </w:r>
      <w:r>
        <w:rPr>
          <w:rFonts w:hint="eastAsia" w:ascii="宋体" w:hAnsi="宋体" w:eastAsia="宋体"/>
          <w:i w:val="0"/>
          <w:sz w:val="21"/>
          <w:szCs w:val="28"/>
        </w:rPr>
        <w:t>届毕业生就业落实后待遇和发展情况调查</w:t>
      </w:r>
      <w:r>
        <w:rPr>
          <w:rFonts w:ascii="宋体" w:hAnsi="宋体" w:eastAsia="宋体"/>
          <w:i w:val="0"/>
          <w:sz w:val="21"/>
          <w:szCs w:val="28"/>
        </w:rPr>
        <w:tab/>
      </w:r>
      <w:r>
        <w:rPr>
          <w:rFonts w:ascii="宋体" w:hAnsi="宋体" w:eastAsia="宋体"/>
          <w:i w:val="0"/>
          <w:sz w:val="21"/>
          <w:szCs w:val="28"/>
        </w:rPr>
        <w:fldChar w:fldCharType="begin"/>
      </w:r>
      <w:r>
        <w:rPr>
          <w:rFonts w:ascii="宋体" w:hAnsi="宋体" w:eastAsia="宋体"/>
          <w:i w:val="0"/>
          <w:sz w:val="21"/>
          <w:szCs w:val="28"/>
        </w:rPr>
        <w:instrText xml:space="preserve"> PAGEREF _Toc501407887 \h </w:instrText>
      </w:r>
      <w:r>
        <w:rPr>
          <w:rFonts w:ascii="宋体" w:hAnsi="宋体" w:eastAsia="宋体"/>
          <w:i w:val="0"/>
          <w:sz w:val="21"/>
          <w:szCs w:val="28"/>
        </w:rPr>
        <w:fldChar w:fldCharType="separate"/>
      </w:r>
      <w:r>
        <w:rPr>
          <w:rFonts w:ascii="宋体" w:hAnsi="宋体" w:eastAsia="宋体"/>
          <w:i w:val="0"/>
          <w:sz w:val="21"/>
          <w:szCs w:val="28"/>
        </w:rPr>
        <w:t>50</w:t>
      </w:r>
      <w:r>
        <w:rPr>
          <w:rFonts w:ascii="宋体" w:hAnsi="宋体" w:eastAsia="宋体"/>
          <w:i w:val="0"/>
          <w:sz w:val="21"/>
          <w:szCs w:val="28"/>
        </w:rPr>
        <w:fldChar w:fldCharType="end"/>
      </w:r>
      <w:r>
        <w:rPr>
          <w:rFonts w:ascii="宋体" w:hAnsi="宋体" w:eastAsia="宋体"/>
          <w:i w:val="0"/>
          <w:sz w:val="21"/>
          <w:szCs w:val="28"/>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"_Toc501407888" </w:instrText>
      </w:r>
      <w:r>
        <w:fldChar w:fldCharType="separate"/>
      </w:r>
      <w:r>
        <w:rPr>
          <w:rFonts w:ascii="宋体" w:hAnsi="宋体"/>
          <w:bCs/>
          <w:smallCaps w:val="0"/>
          <w:sz w:val="21"/>
          <w:szCs w:val="24"/>
        </w:rPr>
        <w:t>1</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届毕业生享受待遇的情况</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_Toc501407888 \h </w:instrText>
      </w:r>
      <w:r>
        <w:rPr>
          <w:rFonts w:ascii="宋体" w:hAnsi="宋体" w:eastAsia="宋体"/>
          <w:bCs/>
          <w:smallCaps w:val="0"/>
          <w:sz w:val="21"/>
          <w:szCs w:val="24"/>
        </w:rPr>
        <w:fldChar w:fldCharType="separate"/>
      </w:r>
      <w:r>
        <w:rPr>
          <w:rFonts w:ascii="宋体" w:hAnsi="宋体" w:eastAsia="宋体"/>
          <w:bCs/>
          <w:smallCaps w:val="0"/>
          <w:sz w:val="21"/>
          <w:szCs w:val="24"/>
        </w:rPr>
        <w:t>50</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"_Toc501407889" </w:instrText>
      </w:r>
      <w:r>
        <w:fldChar w:fldCharType="separate"/>
      </w:r>
      <w:r>
        <w:rPr>
          <w:rFonts w:ascii="宋体" w:hAnsi="宋体"/>
          <w:bCs/>
          <w:smallCaps w:val="0"/>
          <w:sz w:val="21"/>
          <w:szCs w:val="24"/>
        </w:rPr>
        <w:t>2</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届毕业生在工作落实单位的发展空间和发展路径</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_Toc501407889 \h </w:instrText>
      </w:r>
      <w:r>
        <w:rPr>
          <w:rFonts w:ascii="宋体" w:hAnsi="宋体" w:eastAsia="宋体"/>
          <w:bCs/>
          <w:smallCaps w:val="0"/>
          <w:sz w:val="21"/>
          <w:szCs w:val="24"/>
        </w:rPr>
        <w:fldChar w:fldCharType="separate"/>
      </w:r>
      <w:r>
        <w:rPr>
          <w:rFonts w:ascii="宋体" w:hAnsi="宋体" w:eastAsia="宋体"/>
          <w:bCs/>
          <w:smallCaps w:val="0"/>
          <w:sz w:val="21"/>
          <w:szCs w:val="24"/>
        </w:rPr>
        <w:t>51</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"_Toc501407890" </w:instrText>
      </w:r>
      <w:r>
        <w:fldChar w:fldCharType="separate"/>
      </w:r>
      <w:r>
        <w:rPr>
          <w:rFonts w:ascii="宋体" w:hAnsi="宋体"/>
          <w:bCs/>
          <w:smallCaps w:val="0"/>
          <w:sz w:val="21"/>
          <w:szCs w:val="24"/>
        </w:rPr>
        <w:t>3</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届毕业生在工作落实单位的发展路径</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_Toc501407890 \h </w:instrText>
      </w:r>
      <w:r>
        <w:rPr>
          <w:rFonts w:ascii="宋体" w:hAnsi="宋体" w:eastAsia="宋体"/>
          <w:bCs/>
          <w:smallCaps w:val="0"/>
          <w:sz w:val="21"/>
          <w:szCs w:val="24"/>
        </w:rPr>
        <w:fldChar w:fldCharType="separate"/>
      </w:r>
      <w:r>
        <w:rPr>
          <w:rFonts w:ascii="宋体" w:hAnsi="宋体" w:eastAsia="宋体"/>
          <w:bCs/>
          <w:smallCaps w:val="0"/>
          <w:sz w:val="21"/>
          <w:szCs w:val="24"/>
        </w:rPr>
        <w:t>51</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"_Toc501407891" </w:instrText>
      </w:r>
      <w:r>
        <w:fldChar w:fldCharType="separate"/>
      </w:r>
      <w:r>
        <w:rPr>
          <w:rFonts w:ascii="宋体" w:hAnsi="宋体"/>
          <w:bCs/>
          <w:smallCaps w:val="0"/>
          <w:sz w:val="21"/>
          <w:szCs w:val="24"/>
        </w:rPr>
        <w:t>4</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届毕业生预期在工作落实单位工作的时间</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_Toc501407891 \h </w:instrText>
      </w:r>
      <w:r>
        <w:rPr>
          <w:rFonts w:ascii="宋体" w:hAnsi="宋体" w:eastAsia="宋体"/>
          <w:bCs/>
          <w:smallCaps w:val="0"/>
          <w:sz w:val="21"/>
          <w:szCs w:val="24"/>
        </w:rPr>
        <w:fldChar w:fldCharType="separate"/>
      </w:r>
      <w:r>
        <w:rPr>
          <w:rFonts w:ascii="宋体" w:hAnsi="宋体" w:eastAsia="宋体"/>
          <w:bCs/>
          <w:smallCaps w:val="0"/>
          <w:sz w:val="21"/>
          <w:szCs w:val="24"/>
        </w:rPr>
        <w:t>51</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"_Toc501407892" </w:instrText>
      </w:r>
      <w:r>
        <w:fldChar w:fldCharType="separate"/>
      </w:r>
      <w:r>
        <w:rPr>
          <w:rFonts w:ascii="宋体" w:hAnsi="宋体"/>
          <w:bCs/>
          <w:smallCaps w:val="0"/>
          <w:sz w:val="21"/>
          <w:szCs w:val="24"/>
        </w:rPr>
        <w:t>5</w:t>
      </w:r>
      <w:r>
        <w:rPr>
          <w:rFonts w:hint="eastAsia" w:ascii="宋体" w:hAnsi="宋体"/>
          <w:bCs/>
          <w:smallCaps w:val="0"/>
          <w:sz w:val="21"/>
          <w:szCs w:val="24"/>
        </w:rPr>
        <w:t>．目前落实的工作是否与期望相符</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_Toc501407892 \h </w:instrText>
      </w:r>
      <w:r>
        <w:rPr>
          <w:rFonts w:ascii="宋体" w:hAnsi="宋体" w:eastAsia="宋体"/>
          <w:bCs/>
          <w:smallCaps w:val="0"/>
          <w:sz w:val="21"/>
          <w:szCs w:val="24"/>
        </w:rPr>
        <w:fldChar w:fldCharType="separate"/>
      </w:r>
      <w:r>
        <w:rPr>
          <w:rFonts w:ascii="宋体" w:hAnsi="宋体" w:eastAsia="宋体"/>
          <w:bCs/>
          <w:smallCaps w:val="0"/>
          <w:sz w:val="21"/>
          <w:szCs w:val="24"/>
        </w:rPr>
        <w:t>52</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"_Toc501407893" </w:instrText>
      </w:r>
      <w:r>
        <w:fldChar w:fldCharType="separate"/>
      </w:r>
      <w:r>
        <w:rPr>
          <w:rFonts w:ascii="宋体" w:hAnsi="宋体"/>
          <w:bCs/>
          <w:smallCaps w:val="0"/>
          <w:sz w:val="21"/>
          <w:szCs w:val="24"/>
        </w:rPr>
        <w:t>6</w:t>
      </w:r>
      <w:r>
        <w:rPr>
          <w:rFonts w:hint="eastAsia" w:ascii="宋体" w:hAnsi="宋体"/>
          <w:bCs/>
          <w:smallCaps w:val="0"/>
          <w:sz w:val="21"/>
          <w:szCs w:val="24"/>
        </w:rPr>
        <w:t>．已落实工作的整体满意度</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_Toc501407893 \h </w:instrText>
      </w:r>
      <w:r>
        <w:rPr>
          <w:rFonts w:ascii="宋体" w:hAnsi="宋体" w:eastAsia="宋体"/>
          <w:bCs/>
          <w:smallCaps w:val="0"/>
          <w:sz w:val="21"/>
          <w:szCs w:val="24"/>
        </w:rPr>
        <w:fldChar w:fldCharType="separate"/>
      </w:r>
      <w:r>
        <w:rPr>
          <w:rFonts w:ascii="宋体" w:hAnsi="宋体" w:eastAsia="宋体"/>
          <w:bCs/>
          <w:smallCaps w:val="0"/>
          <w:sz w:val="21"/>
          <w:szCs w:val="24"/>
        </w:rPr>
        <w:t>52</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100" w:after="100"/>
        <w:ind w:firstLine="200" w:firstLineChars="100"/>
        <w:rPr>
          <w:rFonts w:ascii="宋体" w:hAnsi="宋体" w:eastAsia="宋体" w:cs="Times New Roman"/>
          <w:smallCaps w:val="0"/>
          <w:sz w:val="21"/>
        </w:rPr>
      </w:pPr>
      <w:r>
        <w:fldChar w:fldCharType="begin"/>
      </w:r>
      <w:r>
        <w:instrText xml:space="preserve"> HYPERLINK \l "_Toc501407894" </w:instrText>
      </w:r>
      <w:r>
        <w:fldChar w:fldCharType="separate"/>
      </w:r>
      <w:r>
        <w:rPr>
          <w:rFonts w:hint="eastAsia" w:ascii="宋体" w:hAnsi="宋体" w:eastAsia="宋体"/>
          <w:smallCaps w:val="0"/>
          <w:sz w:val="21"/>
        </w:rPr>
        <w:t>三、抽样调查的</w:t>
      </w:r>
      <w:r>
        <w:rPr>
          <w:rFonts w:ascii="宋体" w:hAnsi="宋体" w:eastAsia="宋体"/>
          <w:smallCaps w:val="0"/>
          <w:sz w:val="21"/>
        </w:rPr>
        <w:t>2017</w:t>
      </w:r>
      <w:r>
        <w:rPr>
          <w:rFonts w:hint="eastAsia" w:ascii="宋体" w:hAnsi="宋体" w:eastAsia="宋体"/>
          <w:smallCaps w:val="0"/>
          <w:sz w:val="21"/>
        </w:rPr>
        <w:t>届毕业生创业情况调查</w:t>
      </w:r>
      <w:r>
        <w:rPr>
          <w:rFonts w:ascii="宋体" w:hAnsi="宋体" w:eastAsia="宋体" w:cs="Times New Roman"/>
          <w:smallCaps w:val="0"/>
          <w:sz w:val="21"/>
        </w:rPr>
        <w:tab/>
      </w:r>
      <w:r>
        <w:rPr>
          <w:rFonts w:ascii="宋体" w:hAnsi="宋体" w:eastAsia="宋体" w:cs="Times New Roman"/>
          <w:smallCaps w:val="0"/>
          <w:sz w:val="21"/>
        </w:rPr>
        <w:fldChar w:fldCharType="begin"/>
      </w:r>
      <w:r>
        <w:rPr>
          <w:rFonts w:ascii="宋体" w:hAnsi="宋体" w:eastAsia="宋体" w:cs="Times New Roman"/>
          <w:smallCaps w:val="0"/>
          <w:sz w:val="21"/>
        </w:rPr>
        <w:instrText xml:space="preserve"> PAGEREF _Toc501407894 \h </w:instrText>
      </w:r>
      <w:r>
        <w:rPr>
          <w:rFonts w:ascii="宋体" w:hAnsi="宋体" w:eastAsia="宋体" w:cs="Times New Roman"/>
          <w:smallCaps w:val="0"/>
          <w:sz w:val="21"/>
        </w:rPr>
        <w:fldChar w:fldCharType="separate"/>
      </w:r>
      <w:r>
        <w:rPr>
          <w:rFonts w:ascii="宋体" w:hAnsi="宋体" w:eastAsia="宋体" w:cs="Times New Roman"/>
          <w:smallCaps w:val="0"/>
          <w:sz w:val="21"/>
        </w:rPr>
        <w:t>53</w:t>
      </w:r>
      <w:r>
        <w:rPr>
          <w:rFonts w:ascii="宋体" w:hAnsi="宋体" w:eastAsia="宋体" w:cs="Times New Roman"/>
          <w:smallCaps w:val="0"/>
          <w:sz w:val="21"/>
        </w:rPr>
        <w:fldChar w:fldCharType="end"/>
      </w:r>
      <w:r>
        <w:rPr>
          <w:rFonts w:ascii="宋体" w:hAnsi="宋体" w:eastAsia="宋体" w:cs="Times New Roman"/>
          <w:smallCaps w:val="0"/>
          <w:sz w:val="21"/>
        </w:rPr>
        <w:fldChar w:fldCharType="end"/>
      </w:r>
    </w:p>
    <w:p>
      <w:pPr>
        <w:pStyle w:val="9"/>
        <w:tabs>
          <w:tab w:val="right" w:leader="dot" w:pos="8296"/>
        </w:tabs>
        <w:spacing w:before="80" w:after="80"/>
        <w:ind w:firstLine="300" w:firstLineChars="150"/>
        <w:rPr>
          <w:rFonts w:ascii="宋体" w:hAnsi="宋体" w:eastAsia="宋体"/>
          <w:i w:val="0"/>
          <w:sz w:val="21"/>
          <w:szCs w:val="28"/>
        </w:rPr>
      </w:pPr>
      <w:r>
        <w:fldChar w:fldCharType="begin"/>
      </w:r>
      <w:r>
        <w:instrText xml:space="preserve"> HYPERLINK \l "_Toc501407895" </w:instrText>
      </w:r>
      <w:r>
        <w:fldChar w:fldCharType="separate"/>
      </w:r>
      <w:r>
        <w:rPr>
          <w:rFonts w:hint="eastAsia" w:ascii="宋体" w:hAnsi="宋体" w:eastAsia="宋体"/>
          <w:i w:val="0"/>
          <w:sz w:val="21"/>
          <w:szCs w:val="28"/>
        </w:rPr>
        <w:t>（一）抽样调查的</w:t>
      </w:r>
      <w:r>
        <w:rPr>
          <w:rFonts w:ascii="宋体" w:hAnsi="宋体" w:eastAsia="宋体"/>
          <w:i w:val="0"/>
          <w:sz w:val="21"/>
          <w:szCs w:val="28"/>
        </w:rPr>
        <w:t>2017</w:t>
      </w:r>
      <w:r>
        <w:rPr>
          <w:rFonts w:hint="eastAsia" w:ascii="宋体" w:hAnsi="宋体" w:eastAsia="宋体"/>
          <w:i w:val="0"/>
          <w:sz w:val="21"/>
          <w:szCs w:val="28"/>
        </w:rPr>
        <w:t>届毕业生创业基本情况</w:t>
      </w:r>
      <w:r>
        <w:rPr>
          <w:rFonts w:ascii="宋体" w:hAnsi="宋体" w:eastAsia="宋体"/>
          <w:i w:val="0"/>
          <w:sz w:val="21"/>
          <w:szCs w:val="28"/>
        </w:rPr>
        <w:tab/>
      </w:r>
      <w:r>
        <w:rPr>
          <w:rFonts w:ascii="宋体" w:hAnsi="宋体" w:eastAsia="宋体"/>
          <w:i w:val="0"/>
          <w:sz w:val="21"/>
          <w:szCs w:val="28"/>
        </w:rPr>
        <w:fldChar w:fldCharType="begin"/>
      </w:r>
      <w:r>
        <w:rPr>
          <w:rFonts w:ascii="宋体" w:hAnsi="宋体" w:eastAsia="宋体"/>
          <w:i w:val="0"/>
          <w:sz w:val="21"/>
          <w:szCs w:val="28"/>
        </w:rPr>
        <w:instrText xml:space="preserve"> PAGEREF _Toc501407895 \h </w:instrText>
      </w:r>
      <w:r>
        <w:rPr>
          <w:rFonts w:ascii="宋体" w:hAnsi="宋体" w:eastAsia="宋体"/>
          <w:i w:val="0"/>
          <w:sz w:val="21"/>
          <w:szCs w:val="28"/>
        </w:rPr>
        <w:fldChar w:fldCharType="separate"/>
      </w:r>
      <w:r>
        <w:rPr>
          <w:rFonts w:ascii="宋体" w:hAnsi="宋体" w:eastAsia="宋体"/>
          <w:i w:val="0"/>
          <w:sz w:val="21"/>
          <w:szCs w:val="28"/>
        </w:rPr>
        <w:t>53</w:t>
      </w:r>
      <w:r>
        <w:rPr>
          <w:rFonts w:ascii="宋体" w:hAnsi="宋体" w:eastAsia="宋体"/>
          <w:i w:val="0"/>
          <w:sz w:val="21"/>
          <w:szCs w:val="28"/>
        </w:rPr>
        <w:fldChar w:fldCharType="end"/>
      </w:r>
      <w:r>
        <w:rPr>
          <w:rFonts w:ascii="宋体" w:hAnsi="宋体" w:eastAsia="宋体"/>
          <w:i w:val="0"/>
          <w:sz w:val="21"/>
          <w:szCs w:val="28"/>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"_Toc501407896" </w:instrText>
      </w:r>
      <w:r>
        <w:fldChar w:fldCharType="separate"/>
      </w:r>
      <w:r>
        <w:rPr>
          <w:rFonts w:ascii="宋体" w:hAnsi="宋体"/>
          <w:bCs/>
          <w:smallCaps w:val="0"/>
          <w:sz w:val="21"/>
          <w:szCs w:val="24"/>
        </w:rPr>
        <w:t>1</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届毕业生自主创业的主要原因</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_Toc501407896 \h </w:instrText>
      </w:r>
      <w:r>
        <w:rPr>
          <w:rFonts w:ascii="宋体" w:hAnsi="宋体" w:eastAsia="宋体"/>
          <w:bCs/>
          <w:smallCaps w:val="0"/>
          <w:sz w:val="21"/>
          <w:szCs w:val="24"/>
        </w:rPr>
        <w:fldChar w:fldCharType="separate"/>
      </w:r>
      <w:r>
        <w:rPr>
          <w:rFonts w:ascii="宋体" w:hAnsi="宋体" w:eastAsia="宋体"/>
          <w:bCs/>
          <w:smallCaps w:val="0"/>
          <w:sz w:val="21"/>
          <w:szCs w:val="24"/>
        </w:rPr>
        <w:t>53</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"_Toc501407897" </w:instrText>
      </w:r>
      <w:r>
        <w:fldChar w:fldCharType="separate"/>
      </w:r>
      <w:r>
        <w:rPr>
          <w:rFonts w:ascii="宋体" w:hAnsi="宋体"/>
          <w:bCs/>
          <w:smallCaps w:val="0"/>
          <w:sz w:val="21"/>
          <w:szCs w:val="24"/>
        </w:rPr>
        <w:t>2</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届毕业生创业项目投资额及经营利润</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_Toc501407897 \h </w:instrText>
      </w:r>
      <w:r>
        <w:rPr>
          <w:rFonts w:ascii="宋体" w:hAnsi="宋体" w:eastAsia="宋体"/>
          <w:bCs/>
          <w:smallCaps w:val="0"/>
          <w:sz w:val="21"/>
          <w:szCs w:val="24"/>
        </w:rPr>
        <w:fldChar w:fldCharType="separate"/>
      </w:r>
      <w:r>
        <w:rPr>
          <w:rFonts w:ascii="宋体" w:hAnsi="宋体" w:eastAsia="宋体"/>
          <w:bCs/>
          <w:smallCaps w:val="0"/>
          <w:sz w:val="21"/>
          <w:szCs w:val="24"/>
        </w:rPr>
        <w:t>54</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"_Toc501407898" </w:instrText>
      </w:r>
      <w:r>
        <w:fldChar w:fldCharType="separate"/>
      </w:r>
      <w:r>
        <w:rPr>
          <w:rFonts w:ascii="宋体" w:hAnsi="宋体"/>
          <w:bCs/>
          <w:smallCaps w:val="0"/>
          <w:sz w:val="21"/>
          <w:szCs w:val="24"/>
        </w:rPr>
        <w:t>3</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届毕业生创业地区</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_Toc501407898 \h </w:instrText>
      </w:r>
      <w:r>
        <w:rPr>
          <w:rFonts w:ascii="宋体" w:hAnsi="宋体" w:eastAsia="宋体"/>
          <w:bCs/>
          <w:smallCaps w:val="0"/>
          <w:sz w:val="21"/>
          <w:szCs w:val="24"/>
        </w:rPr>
        <w:fldChar w:fldCharType="separate"/>
      </w:r>
      <w:r>
        <w:rPr>
          <w:rFonts w:ascii="宋体" w:hAnsi="宋体" w:eastAsia="宋体"/>
          <w:bCs/>
          <w:smallCaps w:val="0"/>
          <w:sz w:val="21"/>
          <w:szCs w:val="24"/>
        </w:rPr>
        <w:t>54</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"_Toc501407899" </w:instrText>
      </w:r>
      <w:r>
        <w:fldChar w:fldCharType="separate"/>
      </w:r>
      <w:r>
        <w:rPr>
          <w:rFonts w:ascii="宋体" w:hAnsi="宋体"/>
          <w:bCs/>
          <w:smallCaps w:val="0"/>
          <w:sz w:val="21"/>
          <w:szCs w:val="24"/>
        </w:rPr>
        <w:t>4</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届毕业生创业行业</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_Toc501407899 \h </w:instrText>
      </w:r>
      <w:r>
        <w:rPr>
          <w:rFonts w:ascii="宋体" w:hAnsi="宋体" w:eastAsia="宋体"/>
          <w:bCs/>
          <w:smallCaps w:val="0"/>
          <w:sz w:val="21"/>
          <w:szCs w:val="24"/>
        </w:rPr>
        <w:fldChar w:fldCharType="separate"/>
      </w:r>
      <w:r>
        <w:rPr>
          <w:rFonts w:ascii="宋体" w:hAnsi="宋体" w:eastAsia="宋体"/>
          <w:bCs/>
          <w:smallCaps w:val="0"/>
          <w:sz w:val="21"/>
          <w:szCs w:val="24"/>
        </w:rPr>
        <w:t>54</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"_Toc501407900" </w:instrText>
      </w:r>
      <w:r>
        <w:fldChar w:fldCharType="separate"/>
      </w:r>
      <w:r>
        <w:rPr>
          <w:rFonts w:ascii="宋体" w:hAnsi="宋体"/>
          <w:bCs/>
          <w:smallCaps w:val="0"/>
          <w:sz w:val="21"/>
          <w:szCs w:val="24"/>
        </w:rPr>
        <w:t>5</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届毕业生从事的创业工作与所学专业的相关程度</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_Toc501407900 \h </w:instrText>
      </w:r>
      <w:r>
        <w:rPr>
          <w:rFonts w:ascii="宋体" w:hAnsi="宋体" w:eastAsia="宋体"/>
          <w:bCs/>
          <w:smallCaps w:val="0"/>
          <w:sz w:val="21"/>
          <w:szCs w:val="24"/>
        </w:rPr>
        <w:fldChar w:fldCharType="separate"/>
      </w:r>
      <w:r>
        <w:rPr>
          <w:rFonts w:ascii="宋体" w:hAnsi="宋体" w:eastAsia="宋体"/>
          <w:bCs/>
          <w:smallCaps w:val="0"/>
          <w:sz w:val="21"/>
          <w:szCs w:val="24"/>
        </w:rPr>
        <w:t>54</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9"/>
        <w:tabs>
          <w:tab w:val="right" w:leader="dot" w:pos="8296"/>
        </w:tabs>
        <w:spacing w:before="80" w:after="80"/>
        <w:ind w:firstLine="300" w:firstLineChars="150"/>
        <w:rPr>
          <w:rFonts w:ascii="宋体" w:hAnsi="宋体" w:eastAsia="宋体"/>
          <w:i w:val="0"/>
          <w:sz w:val="21"/>
          <w:szCs w:val="28"/>
        </w:rPr>
      </w:pPr>
      <w:r>
        <w:fldChar w:fldCharType="begin"/>
      </w:r>
      <w:r>
        <w:instrText xml:space="preserve"> HYPERLINK \l "_Toc501407901" </w:instrText>
      </w:r>
      <w:r>
        <w:fldChar w:fldCharType="separate"/>
      </w:r>
      <w:r>
        <w:rPr>
          <w:rFonts w:hint="eastAsia" w:ascii="宋体" w:hAnsi="宋体" w:eastAsia="宋体"/>
          <w:i w:val="0"/>
          <w:sz w:val="21"/>
          <w:szCs w:val="28"/>
        </w:rPr>
        <w:t>（二）抽样调查的</w:t>
      </w:r>
      <w:r>
        <w:rPr>
          <w:rFonts w:ascii="宋体" w:hAnsi="宋体" w:eastAsia="宋体"/>
          <w:i w:val="0"/>
          <w:sz w:val="21"/>
          <w:szCs w:val="28"/>
        </w:rPr>
        <w:t>2017</w:t>
      </w:r>
      <w:r>
        <w:rPr>
          <w:rFonts w:hint="eastAsia" w:ascii="宋体" w:hAnsi="宋体" w:eastAsia="宋体"/>
          <w:i w:val="0"/>
          <w:sz w:val="21"/>
          <w:szCs w:val="28"/>
        </w:rPr>
        <w:t>届毕业生创业所遇到问题</w:t>
      </w:r>
      <w:r>
        <w:rPr>
          <w:rFonts w:ascii="宋体" w:hAnsi="宋体" w:eastAsia="宋体"/>
          <w:i w:val="0"/>
          <w:sz w:val="21"/>
          <w:szCs w:val="28"/>
        </w:rPr>
        <w:tab/>
      </w:r>
      <w:r>
        <w:rPr>
          <w:rFonts w:ascii="宋体" w:hAnsi="宋体" w:eastAsia="宋体"/>
          <w:i w:val="0"/>
          <w:sz w:val="21"/>
          <w:szCs w:val="28"/>
        </w:rPr>
        <w:fldChar w:fldCharType="begin"/>
      </w:r>
      <w:r>
        <w:rPr>
          <w:rFonts w:ascii="宋体" w:hAnsi="宋体" w:eastAsia="宋体"/>
          <w:i w:val="0"/>
          <w:sz w:val="21"/>
          <w:szCs w:val="28"/>
        </w:rPr>
        <w:instrText xml:space="preserve"> PAGEREF _Toc501407901 \h </w:instrText>
      </w:r>
      <w:r>
        <w:rPr>
          <w:rFonts w:ascii="宋体" w:hAnsi="宋体" w:eastAsia="宋体"/>
          <w:i w:val="0"/>
          <w:sz w:val="21"/>
          <w:szCs w:val="28"/>
        </w:rPr>
        <w:fldChar w:fldCharType="separate"/>
      </w:r>
      <w:r>
        <w:rPr>
          <w:rFonts w:ascii="宋体" w:hAnsi="宋体" w:eastAsia="宋体"/>
          <w:i w:val="0"/>
          <w:sz w:val="21"/>
          <w:szCs w:val="28"/>
        </w:rPr>
        <w:t>55</w:t>
      </w:r>
      <w:r>
        <w:rPr>
          <w:rFonts w:ascii="宋体" w:hAnsi="宋体" w:eastAsia="宋体"/>
          <w:i w:val="0"/>
          <w:sz w:val="21"/>
          <w:szCs w:val="28"/>
        </w:rPr>
        <w:fldChar w:fldCharType="end"/>
      </w:r>
      <w:r>
        <w:rPr>
          <w:rFonts w:ascii="宋体" w:hAnsi="宋体" w:eastAsia="宋体"/>
          <w:i w:val="0"/>
          <w:sz w:val="21"/>
          <w:szCs w:val="28"/>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"_Toc501407902" </w:instrText>
      </w:r>
      <w:r>
        <w:fldChar w:fldCharType="separate"/>
      </w:r>
      <w:r>
        <w:rPr>
          <w:rFonts w:ascii="宋体" w:hAnsi="宋体"/>
          <w:bCs/>
          <w:smallCaps w:val="0"/>
          <w:sz w:val="21"/>
          <w:szCs w:val="24"/>
        </w:rPr>
        <w:t>1</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届毕业生创业项目的筹资途径</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_Toc501407902 \h </w:instrText>
      </w:r>
      <w:r>
        <w:rPr>
          <w:rFonts w:ascii="宋体" w:hAnsi="宋体" w:eastAsia="宋体"/>
          <w:bCs/>
          <w:smallCaps w:val="0"/>
          <w:sz w:val="21"/>
          <w:szCs w:val="24"/>
        </w:rPr>
        <w:fldChar w:fldCharType="separate"/>
      </w:r>
      <w:r>
        <w:rPr>
          <w:rFonts w:ascii="宋体" w:hAnsi="宋体" w:eastAsia="宋体"/>
          <w:bCs/>
          <w:smallCaps w:val="0"/>
          <w:sz w:val="21"/>
          <w:szCs w:val="24"/>
        </w:rPr>
        <w:t>55</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"_Toc501407903" </w:instrText>
      </w:r>
      <w:r>
        <w:fldChar w:fldCharType="separate"/>
      </w:r>
      <w:r>
        <w:rPr>
          <w:rFonts w:ascii="宋体" w:hAnsi="宋体"/>
          <w:bCs/>
          <w:smallCaps w:val="0"/>
          <w:sz w:val="21"/>
          <w:szCs w:val="24"/>
        </w:rPr>
        <w:t>2</w:t>
      </w:r>
      <w:r>
        <w:rPr>
          <w:rFonts w:hint="eastAsia" w:ascii="宋体" w:hAnsi="宋体"/>
          <w:bCs/>
          <w:smallCaps w:val="0"/>
          <w:sz w:val="21"/>
          <w:szCs w:val="24"/>
        </w:rPr>
        <w:t>．抽样调查的</w:t>
      </w:r>
      <w:r>
        <w:rPr>
          <w:rFonts w:ascii="宋体" w:hAnsi="宋体"/>
          <w:bCs/>
          <w:smallCaps w:val="0"/>
          <w:sz w:val="21"/>
          <w:szCs w:val="24"/>
        </w:rPr>
        <w:t>2017</w:t>
      </w:r>
      <w:r>
        <w:rPr>
          <w:rFonts w:hint="eastAsia" w:ascii="宋体" w:hAnsi="宋体"/>
          <w:bCs/>
          <w:smallCaps w:val="0"/>
          <w:sz w:val="21"/>
          <w:szCs w:val="24"/>
        </w:rPr>
        <w:t>届毕业生创业过程中遇到最难以解决的问题</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_Toc501407903 \h </w:instrText>
      </w:r>
      <w:r>
        <w:rPr>
          <w:rFonts w:ascii="宋体" w:hAnsi="宋体" w:eastAsia="宋体"/>
          <w:bCs/>
          <w:smallCaps w:val="0"/>
          <w:sz w:val="21"/>
          <w:szCs w:val="24"/>
        </w:rPr>
        <w:fldChar w:fldCharType="separate"/>
      </w:r>
      <w:r>
        <w:rPr>
          <w:rFonts w:ascii="宋体" w:hAnsi="宋体" w:eastAsia="宋体"/>
          <w:bCs/>
          <w:smallCaps w:val="0"/>
          <w:sz w:val="21"/>
          <w:szCs w:val="24"/>
        </w:rPr>
        <w:t>55</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4"/>
        <w:tabs>
          <w:tab w:val="right" w:leader="dot" w:pos="8306"/>
          <w:tab w:val="clear" w:pos="8777"/>
        </w:tabs>
        <w:rPr>
          <w:rFonts w:ascii="宋体" w:hAnsi="宋体" w:eastAsia="宋体" w:cs="Times New Roman"/>
          <w:b w:val="0"/>
          <w:caps w:val="0"/>
          <w:sz w:val="21"/>
        </w:rPr>
      </w:pPr>
      <w:r>
        <w:fldChar w:fldCharType="begin"/>
      </w:r>
      <w:r>
        <w:instrText xml:space="preserve"> HYPERLINK \l "_Toc501407904" </w:instrText>
      </w:r>
      <w:r>
        <w:fldChar w:fldCharType="separate"/>
      </w:r>
      <w:r>
        <w:rPr>
          <w:rFonts w:hint="eastAsia" w:ascii="宋体" w:hAnsi="宋体" w:eastAsia="宋体"/>
          <w:b w:val="0"/>
          <w:caps w:val="0"/>
          <w:sz w:val="21"/>
        </w:rPr>
        <w:t>第五章</w:t>
      </w:r>
      <w:r>
        <w:rPr>
          <w:rFonts w:ascii="宋体" w:hAnsi="宋体" w:eastAsia="宋体"/>
          <w:b w:val="0"/>
          <w:caps w:val="0"/>
          <w:sz w:val="21"/>
        </w:rPr>
        <w:t xml:space="preserve"> </w:t>
      </w:r>
      <w:r>
        <w:rPr>
          <w:rFonts w:hint="eastAsia" w:ascii="宋体" w:hAnsi="宋体" w:eastAsia="宋体"/>
          <w:b w:val="0"/>
          <w:caps w:val="0"/>
          <w:sz w:val="21"/>
        </w:rPr>
        <w:t>用人单位的评价与反馈</w:t>
      </w:r>
      <w:r>
        <w:rPr>
          <w:rFonts w:ascii="宋体" w:hAnsi="宋体" w:eastAsia="宋体" w:cs="Times New Roman"/>
          <w:b w:val="0"/>
          <w:caps w:val="0"/>
          <w:sz w:val="21"/>
        </w:rPr>
        <w:tab/>
      </w:r>
      <w:r>
        <w:rPr>
          <w:rFonts w:ascii="宋体" w:hAnsi="宋体" w:eastAsia="宋体" w:cs="Times New Roman"/>
          <w:b w:val="0"/>
          <w:caps w:val="0"/>
          <w:sz w:val="21"/>
        </w:rPr>
        <w:fldChar w:fldCharType="begin"/>
      </w:r>
      <w:r>
        <w:rPr>
          <w:rFonts w:ascii="宋体" w:hAnsi="宋体" w:eastAsia="宋体" w:cs="Times New Roman"/>
          <w:b w:val="0"/>
          <w:caps w:val="0"/>
          <w:sz w:val="21"/>
        </w:rPr>
        <w:instrText xml:space="preserve"> PAGEREF _Toc501407904 \h </w:instrText>
      </w:r>
      <w:r>
        <w:rPr>
          <w:rFonts w:ascii="宋体" w:hAnsi="宋体" w:eastAsia="宋体" w:cs="Times New Roman"/>
          <w:b w:val="0"/>
          <w:caps w:val="0"/>
          <w:sz w:val="21"/>
        </w:rPr>
        <w:fldChar w:fldCharType="separate"/>
      </w:r>
      <w:r>
        <w:rPr>
          <w:rFonts w:ascii="宋体" w:hAnsi="宋体" w:eastAsia="宋体" w:cs="Times New Roman"/>
          <w:b w:val="0"/>
          <w:caps w:val="0"/>
          <w:sz w:val="21"/>
        </w:rPr>
        <w:t>57</w:t>
      </w:r>
      <w:r>
        <w:rPr>
          <w:rFonts w:ascii="宋体" w:hAnsi="宋体" w:eastAsia="宋体" w:cs="Times New Roman"/>
          <w:b w:val="0"/>
          <w:caps w:val="0"/>
          <w:sz w:val="21"/>
        </w:rPr>
        <w:fldChar w:fldCharType="end"/>
      </w:r>
      <w:r>
        <w:rPr>
          <w:rFonts w:ascii="宋体" w:hAnsi="宋体" w:eastAsia="宋体" w:cs="Times New Roman"/>
          <w:b w:val="0"/>
          <w:caps w:val="0"/>
          <w:sz w:val="21"/>
        </w:rPr>
        <w:fldChar w:fldCharType="end"/>
      </w:r>
    </w:p>
    <w:p>
      <w:pPr>
        <w:pStyle w:val="19"/>
        <w:tabs>
          <w:tab w:val="right" w:leader="dot" w:pos="8296"/>
        </w:tabs>
        <w:spacing w:before="100" w:after="100"/>
        <w:ind w:firstLine="200" w:firstLineChars="100"/>
        <w:rPr>
          <w:rFonts w:ascii="宋体" w:hAnsi="宋体" w:eastAsia="宋体" w:cs="Times New Roman"/>
          <w:smallCaps w:val="0"/>
          <w:sz w:val="21"/>
        </w:rPr>
      </w:pPr>
      <w:r>
        <w:fldChar w:fldCharType="begin"/>
      </w:r>
      <w:r>
        <w:instrText xml:space="preserve"> HYPERLINK \l "_Toc501407905" </w:instrText>
      </w:r>
      <w:r>
        <w:fldChar w:fldCharType="separate"/>
      </w:r>
      <w:r>
        <w:rPr>
          <w:rFonts w:hint="eastAsia" w:ascii="宋体" w:hAnsi="宋体" w:eastAsia="宋体"/>
          <w:smallCaps w:val="0"/>
          <w:sz w:val="21"/>
        </w:rPr>
        <w:t>一、用人单位基本信息</w:t>
      </w:r>
      <w:r>
        <w:rPr>
          <w:rFonts w:ascii="宋体" w:hAnsi="宋体" w:eastAsia="宋体" w:cs="Times New Roman"/>
          <w:smallCaps w:val="0"/>
          <w:sz w:val="21"/>
        </w:rPr>
        <w:tab/>
      </w:r>
      <w:r>
        <w:rPr>
          <w:rFonts w:ascii="宋体" w:hAnsi="宋体" w:eastAsia="宋体" w:cs="Times New Roman"/>
          <w:smallCaps w:val="0"/>
          <w:sz w:val="21"/>
        </w:rPr>
        <w:fldChar w:fldCharType="begin"/>
      </w:r>
      <w:r>
        <w:rPr>
          <w:rFonts w:ascii="宋体" w:hAnsi="宋体" w:eastAsia="宋体" w:cs="Times New Roman"/>
          <w:smallCaps w:val="0"/>
          <w:sz w:val="21"/>
        </w:rPr>
        <w:instrText xml:space="preserve"> PAGEREF _Toc501407905 \h </w:instrText>
      </w:r>
      <w:r>
        <w:rPr>
          <w:rFonts w:ascii="宋体" w:hAnsi="宋体" w:eastAsia="宋体" w:cs="Times New Roman"/>
          <w:smallCaps w:val="0"/>
          <w:sz w:val="21"/>
        </w:rPr>
        <w:fldChar w:fldCharType="separate"/>
      </w:r>
      <w:r>
        <w:rPr>
          <w:rFonts w:ascii="宋体" w:hAnsi="宋体" w:eastAsia="宋体" w:cs="Times New Roman"/>
          <w:smallCaps w:val="0"/>
          <w:sz w:val="21"/>
        </w:rPr>
        <w:t>57</w:t>
      </w:r>
      <w:r>
        <w:rPr>
          <w:rFonts w:ascii="宋体" w:hAnsi="宋体" w:eastAsia="宋体" w:cs="Times New Roman"/>
          <w:smallCaps w:val="0"/>
          <w:sz w:val="21"/>
        </w:rPr>
        <w:fldChar w:fldCharType="end"/>
      </w:r>
      <w:r>
        <w:rPr>
          <w:rFonts w:ascii="宋体" w:hAnsi="宋体" w:eastAsia="宋体" w:cs="Times New Roman"/>
          <w:smallCaps w:val="0"/>
          <w:sz w:val="21"/>
        </w:rPr>
        <w:fldChar w:fldCharType="end"/>
      </w:r>
    </w:p>
    <w:p>
      <w:pPr>
        <w:pStyle w:val="19"/>
        <w:tabs>
          <w:tab w:val="right" w:leader="dot" w:pos="8296"/>
        </w:tabs>
        <w:spacing w:before="100" w:after="100"/>
        <w:ind w:firstLine="200" w:firstLineChars="100"/>
        <w:rPr>
          <w:rFonts w:ascii="宋体" w:hAnsi="宋体" w:eastAsia="宋体" w:cs="Times New Roman"/>
          <w:smallCaps w:val="0"/>
          <w:sz w:val="21"/>
        </w:rPr>
      </w:pPr>
      <w:r>
        <w:fldChar w:fldCharType="begin"/>
      </w:r>
      <w:r>
        <w:instrText xml:space="preserve"> HYPERLINK \l "_Toc501407906" </w:instrText>
      </w:r>
      <w:r>
        <w:fldChar w:fldCharType="separate"/>
      </w:r>
      <w:r>
        <w:rPr>
          <w:rFonts w:hint="eastAsia" w:ascii="宋体" w:hAnsi="宋体" w:eastAsia="宋体"/>
          <w:smallCaps w:val="0"/>
          <w:sz w:val="21"/>
        </w:rPr>
        <w:t>二、用人单位对学校</w:t>
      </w:r>
      <w:r>
        <w:rPr>
          <w:rFonts w:ascii="宋体" w:hAnsi="宋体" w:eastAsia="宋体"/>
          <w:smallCaps w:val="0"/>
          <w:sz w:val="21"/>
        </w:rPr>
        <w:t>2017</w:t>
      </w:r>
      <w:r>
        <w:rPr>
          <w:rFonts w:hint="eastAsia" w:ascii="宋体" w:hAnsi="宋体" w:eastAsia="宋体"/>
          <w:smallCaps w:val="0"/>
          <w:sz w:val="21"/>
        </w:rPr>
        <w:t>届毕业生的综合评价</w:t>
      </w:r>
      <w:r>
        <w:rPr>
          <w:rFonts w:ascii="宋体" w:hAnsi="宋体" w:eastAsia="宋体" w:cs="Times New Roman"/>
          <w:smallCaps w:val="0"/>
          <w:sz w:val="21"/>
        </w:rPr>
        <w:tab/>
      </w:r>
      <w:r>
        <w:rPr>
          <w:rFonts w:ascii="宋体" w:hAnsi="宋体" w:eastAsia="宋体" w:cs="Times New Roman"/>
          <w:smallCaps w:val="0"/>
          <w:sz w:val="21"/>
        </w:rPr>
        <w:fldChar w:fldCharType="begin"/>
      </w:r>
      <w:r>
        <w:rPr>
          <w:rFonts w:ascii="宋体" w:hAnsi="宋体" w:eastAsia="宋体" w:cs="Times New Roman"/>
          <w:smallCaps w:val="0"/>
          <w:sz w:val="21"/>
        </w:rPr>
        <w:instrText xml:space="preserve"> PAGEREF _Toc501407906 \h </w:instrText>
      </w:r>
      <w:r>
        <w:rPr>
          <w:rFonts w:ascii="宋体" w:hAnsi="宋体" w:eastAsia="宋体" w:cs="Times New Roman"/>
          <w:smallCaps w:val="0"/>
          <w:sz w:val="21"/>
        </w:rPr>
        <w:fldChar w:fldCharType="separate"/>
      </w:r>
      <w:r>
        <w:rPr>
          <w:rFonts w:ascii="宋体" w:hAnsi="宋体" w:eastAsia="宋体" w:cs="Times New Roman"/>
          <w:smallCaps w:val="0"/>
          <w:sz w:val="21"/>
        </w:rPr>
        <w:t>57</w:t>
      </w:r>
      <w:r>
        <w:rPr>
          <w:rFonts w:ascii="宋体" w:hAnsi="宋体" w:eastAsia="宋体" w:cs="Times New Roman"/>
          <w:smallCaps w:val="0"/>
          <w:sz w:val="21"/>
        </w:rPr>
        <w:fldChar w:fldCharType="end"/>
      </w:r>
      <w:r>
        <w:rPr>
          <w:rFonts w:ascii="宋体" w:hAnsi="宋体" w:eastAsia="宋体" w:cs="Times New Roman"/>
          <w:smallCaps w:val="0"/>
          <w:sz w:val="21"/>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"_Toc501407907" </w:instrText>
      </w:r>
      <w:r>
        <w:fldChar w:fldCharType="separate"/>
      </w:r>
      <w:r>
        <w:rPr>
          <w:rFonts w:ascii="宋体" w:hAnsi="宋体"/>
          <w:bCs/>
          <w:smallCaps w:val="0"/>
          <w:sz w:val="21"/>
          <w:szCs w:val="24"/>
        </w:rPr>
        <w:t>1</w:t>
      </w:r>
      <w:r>
        <w:rPr>
          <w:rFonts w:hint="eastAsia" w:ascii="宋体" w:hAnsi="宋体"/>
          <w:bCs/>
          <w:smallCaps w:val="0"/>
          <w:sz w:val="21"/>
          <w:szCs w:val="24"/>
        </w:rPr>
        <w:t>．用人单位对学校</w:t>
      </w:r>
      <w:r>
        <w:rPr>
          <w:rFonts w:ascii="宋体" w:hAnsi="宋体"/>
          <w:bCs/>
          <w:smallCaps w:val="0"/>
          <w:sz w:val="21"/>
          <w:szCs w:val="24"/>
        </w:rPr>
        <w:t>2017</w:t>
      </w:r>
      <w:r>
        <w:rPr>
          <w:rFonts w:hint="eastAsia" w:ascii="宋体" w:hAnsi="宋体"/>
          <w:bCs/>
          <w:smallCaps w:val="0"/>
          <w:sz w:val="21"/>
          <w:szCs w:val="24"/>
        </w:rPr>
        <w:t>届毕业生的认可度</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_Toc501407907 \h </w:instrText>
      </w:r>
      <w:r>
        <w:rPr>
          <w:rFonts w:ascii="宋体" w:hAnsi="宋体" w:eastAsia="宋体"/>
          <w:bCs/>
          <w:smallCaps w:val="0"/>
          <w:sz w:val="21"/>
          <w:szCs w:val="24"/>
        </w:rPr>
        <w:fldChar w:fldCharType="separate"/>
      </w:r>
      <w:r>
        <w:rPr>
          <w:rFonts w:ascii="宋体" w:hAnsi="宋体" w:eastAsia="宋体"/>
          <w:bCs/>
          <w:smallCaps w:val="0"/>
          <w:sz w:val="21"/>
          <w:szCs w:val="24"/>
        </w:rPr>
        <w:t>57</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"_Toc501407908" </w:instrText>
      </w:r>
      <w:r>
        <w:fldChar w:fldCharType="separate"/>
      </w:r>
      <w:r>
        <w:rPr>
          <w:rFonts w:ascii="宋体" w:hAnsi="宋体"/>
          <w:bCs/>
          <w:smallCaps w:val="0"/>
          <w:sz w:val="21"/>
          <w:szCs w:val="24"/>
        </w:rPr>
        <w:t>2</w:t>
      </w:r>
      <w:r>
        <w:rPr>
          <w:rFonts w:hint="eastAsia" w:ascii="宋体" w:hAnsi="宋体"/>
          <w:bCs/>
          <w:smallCaps w:val="0"/>
          <w:sz w:val="21"/>
          <w:szCs w:val="24"/>
        </w:rPr>
        <w:t>．用人单位对学校毕业生职业素质的评价</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_Toc501407908 \h </w:instrText>
      </w:r>
      <w:r>
        <w:rPr>
          <w:rFonts w:ascii="宋体" w:hAnsi="宋体" w:eastAsia="宋体"/>
          <w:bCs/>
          <w:smallCaps w:val="0"/>
          <w:sz w:val="21"/>
          <w:szCs w:val="24"/>
        </w:rPr>
        <w:fldChar w:fldCharType="separate"/>
      </w:r>
      <w:r>
        <w:rPr>
          <w:rFonts w:ascii="宋体" w:hAnsi="宋体" w:eastAsia="宋体"/>
          <w:bCs/>
          <w:smallCaps w:val="0"/>
          <w:sz w:val="21"/>
          <w:szCs w:val="24"/>
        </w:rPr>
        <w:t>58</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"_Toc501407909" </w:instrText>
      </w:r>
      <w:r>
        <w:fldChar w:fldCharType="separate"/>
      </w:r>
      <w:r>
        <w:rPr>
          <w:rFonts w:ascii="宋体" w:hAnsi="宋体"/>
          <w:bCs/>
          <w:smallCaps w:val="0"/>
          <w:sz w:val="21"/>
          <w:szCs w:val="24"/>
        </w:rPr>
        <w:t>3</w:t>
      </w:r>
      <w:r>
        <w:rPr>
          <w:rFonts w:hint="eastAsia" w:ascii="宋体" w:hAnsi="宋体"/>
          <w:bCs/>
          <w:smallCaps w:val="0"/>
          <w:sz w:val="21"/>
          <w:szCs w:val="24"/>
        </w:rPr>
        <w:t>．用人单位认为学校毕业生需要提高的能力</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_Toc501407909 \h </w:instrText>
      </w:r>
      <w:r>
        <w:rPr>
          <w:rFonts w:ascii="宋体" w:hAnsi="宋体" w:eastAsia="宋体"/>
          <w:bCs/>
          <w:smallCaps w:val="0"/>
          <w:sz w:val="21"/>
          <w:szCs w:val="24"/>
        </w:rPr>
        <w:fldChar w:fldCharType="separate"/>
      </w:r>
      <w:r>
        <w:rPr>
          <w:rFonts w:ascii="宋体" w:hAnsi="宋体" w:eastAsia="宋体"/>
          <w:bCs/>
          <w:smallCaps w:val="0"/>
          <w:sz w:val="21"/>
          <w:szCs w:val="24"/>
        </w:rPr>
        <w:t>58</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100" w:after="100"/>
        <w:ind w:firstLine="200" w:firstLineChars="100"/>
        <w:rPr>
          <w:rFonts w:ascii="宋体" w:hAnsi="宋体" w:eastAsia="宋体" w:cs="Times New Roman"/>
          <w:smallCaps w:val="0"/>
          <w:sz w:val="21"/>
        </w:rPr>
      </w:pPr>
      <w:r>
        <w:fldChar w:fldCharType="begin"/>
      </w:r>
      <w:r>
        <w:instrText xml:space="preserve"> HYPERLINK \l "_Toc501407910" </w:instrText>
      </w:r>
      <w:r>
        <w:fldChar w:fldCharType="separate"/>
      </w:r>
      <w:r>
        <w:rPr>
          <w:rFonts w:hint="eastAsia" w:ascii="宋体" w:hAnsi="宋体" w:eastAsia="宋体"/>
          <w:smallCaps w:val="0"/>
          <w:sz w:val="21"/>
        </w:rPr>
        <w:t>三、问卷调查对毕业生工作的启示</w:t>
      </w:r>
      <w:r>
        <w:rPr>
          <w:rFonts w:ascii="宋体" w:hAnsi="宋体" w:eastAsia="宋体" w:cs="Times New Roman"/>
          <w:smallCaps w:val="0"/>
          <w:sz w:val="21"/>
        </w:rPr>
        <w:tab/>
      </w:r>
      <w:r>
        <w:rPr>
          <w:rFonts w:ascii="宋体" w:hAnsi="宋体" w:eastAsia="宋体" w:cs="Times New Roman"/>
          <w:smallCaps w:val="0"/>
          <w:sz w:val="21"/>
        </w:rPr>
        <w:fldChar w:fldCharType="begin"/>
      </w:r>
      <w:r>
        <w:rPr>
          <w:rFonts w:ascii="宋体" w:hAnsi="宋体" w:eastAsia="宋体" w:cs="Times New Roman"/>
          <w:smallCaps w:val="0"/>
          <w:sz w:val="21"/>
        </w:rPr>
        <w:instrText xml:space="preserve"> PAGEREF _Toc501407910 \h </w:instrText>
      </w:r>
      <w:r>
        <w:rPr>
          <w:rFonts w:ascii="宋体" w:hAnsi="宋体" w:eastAsia="宋体" w:cs="Times New Roman"/>
          <w:smallCaps w:val="0"/>
          <w:sz w:val="21"/>
        </w:rPr>
        <w:fldChar w:fldCharType="separate"/>
      </w:r>
      <w:r>
        <w:rPr>
          <w:rFonts w:ascii="宋体" w:hAnsi="宋体" w:eastAsia="宋体" w:cs="Times New Roman"/>
          <w:smallCaps w:val="0"/>
          <w:sz w:val="21"/>
        </w:rPr>
        <w:t>59</w:t>
      </w:r>
      <w:r>
        <w:rPr>
          <w:rFonts w:ascii="宋体" w:hAnsi="宋体" w:eastAsia="宋体" w:cs="Times New Roman"/>
          <w:smallCaps w:val="0"/>
          <w:sz w:val="21"/>
        </w:rPr>
        <w:fldChar w:fldCharType="end"/>
      </w:r>
      <w:r>
        <w:rPr>
          <w:rFonts w:ascii="宋体" w:hAnsi="宋体" w:eastAsia="宋体" w:cs="Times New Roman"/>
          <w:smallCaps w:val="0"/>
          <w:sz w:val="21"/>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"_Toc501407911" </w:instrText>
      </w:r>
      <w:r>
        <w:fldChar w:fldCharType="separate"/>
      </w:r>
      <w:r>
        <w:rPr>
          <w:rFonts w:ascii="宋体" w:hAnsi="宋体"/>
          <w:bCs/>
          <w:smallCaps w:val="0"/>
          <w:sz w:val="21"/>
          <w:szCs w:val="24"/>
        </w:rPr>
        <w:t>1</w:t>
      </w:r>
      <w:r>
        <w:rPr>
          <w:rFonts w:hint="eastAsia" w:ascii="宋体" w:hAnsi="宋体"/>
          <w:bCs/>
          <w:smallCaps w:val="0"/>
          <w:sz w:val="21"/>
          <w:szCs w:val="24"/>
        </w:rPr>
        <w:t>．强化就业服务意识，完善就业服务体系</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_Toc501407911 \h </w:instrText>
      </w:r>
      <w:r>
        <w:rPr>
          <w:rFonts w:ascii="宋体" w:hAnsi="宋体" w:eastAsia="宋体"/>
          <w:bCs/>
          <w:smallCaps w:val="0"/>
          <w:sz w:val="21"/>
          <w:szCs w:val="24"/>
        </w:rPr>
        <w:fldChar w:fldCharType="separate"/>
      </w:r>
      <w:r>
        <w:rPr>
          <w:rFonts w:ascii="宋体" w:hAnsi="宋体" w:eastAsia="宋体"/>
          <w:bCs/>
          <w:smallCaps w:val="0"/>
          <w:sz w:val="21"/>
          <w:szCs w:val="24"/>
        </w:rPr>
        <w:t>59</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"_Toc501407912" </w:instrText>
      </w:r>
      <w:r>
        <w:fldChar w:fldCharType="separate"/>
      </w:r>
      <w:r>
        <w:rPr>
          <w:rFonts w:ascii="宋体" w:hAnsi="宋体"/>
          <w:bCs/>
          <w:smallCaps w:val="0"/>
          <w:sz w:val="21"/>
          <w:szCs w:val="24"/>
        </w:rPr>
        <w:t>2</w:t>
      </w:r>
      <w:r>
        <w:rPr>
          <w:rFonts w:hint="eastAsia" w:ascii="宋体" w:hAnsi="宋体"/>
          <w:bCs/>
          <w:smallCaps w:val="0"/>
          <w:sz w:val="21"/>
          <w:szCs w:val="24"/>
        </w:rPr>
        <w:t>．加强专兼职就业队伍建设，做好就业指导工作</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_Toc501407912 \h </w:instrText>
      </w:r>
      <w:r>
        <w:rPr>
          <w:rFonts w:ascii="宋体" w:hAnsi="宋体" w:eastAsia="宋体"/>
          <w:bCs/>
          <w:smallCaps w:val="0"/>
          <w:sz w:val="21"/>
          <w:szCs w:val="24"/>
        </w:rPr>
        <w:fldChar w:fldCharType="separate"/>
      </w:r>
      <w:r>
        <w:rPr>
          <w:rFonts w:ascii="宋体" w:hAnsi="宋体" w:eastAsia="宋体"/>
          <w:bCs/>
          <w:smallCaps w:val="0"/>
          <w:sz w:val="21"/>
          <w:szCs w:val="24"/>
        </w:rPr>
        <w:t>59</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"_Toc501407913" </w:instrText>
      </w:r>
      <w:r>
        <w:fldChar w:fldCharType="separate"/>
      </w:r>
      <w:r>
        <w:rPr>
          <w:rFonts w:ascii="宋体" w:hAnsi="宋体"/>
          <w:bCs/>
          <w:smallCaps w:val="0"/>
          <w:sz w:val="21"/>
          <w:szCs w:val="24"/>
        </w:rPr>
        <w:t>3</w:t>
      </w:r>
      <w:r>
        <w:rPr>
          <w:rFonts w:hint="eastAsia" w:ascii="宋体" w:hAnsi="宋体"/>
          <w:bCs/>
          <w:smallCaps w:val="0"/>
          <w:sz w:val="21"/>
          <w:szCs w:val="24"/>
        </w:rPr>
        <w:t>．加强毕业生择业意识培养，引导树立正确择业观</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_Toc501407913 \h </w:instrText>
      </w:r>
      <w:r>
        <w:rPr>
          <w:rFonts w:ascii="宋体" w:hAnsi="宋体" w:eastAsia="宋体"/>
          <w:bCs/>
          <w:smallCaps w:val="0"/>
          <w:sz w:val="21"/>
          <w:szCs w:val="24"/>
        </w:rPr>
        <w:fldChar w:fldCharType="separate"/>
      </w:r>
      <w:r>
        <w:rPr>
          <w:rFonts w:ascii="宋体" w:hAnsi="宋体" w:eastAsia="宋体"/>
          <w:bCs/>
          <w:smallCaps w:val="0"/>
          <w:sz w:val="21"/>
          <w:szCs w:val="24"/>
        </w:rPr>
        <w:t>59</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"_Toc501407914" </w:instrText>
      </w:r>
      <w:r>
        <w:fldChar w:fldCharType="separate"/>
      </w:r>
      <w:r>
        <w:rPr>
          <w:rFonts w:ascii="宋体" w:hAnsi="宋体"/>
          <w:bCs/>
          <w:smallCaps w:val="0"/>
          <w:sz w:val="21"/>
          <w:szCs w:val="24"/>
        </w:rPr>
        <w:t>4</w:t>
      </w:r>
      <w:r>
        <w:rPr>
          <w:rFonts w:hint="eastAsia" w:ascii="宋体" w:hAnsi="宋体"/>
          <w:bCs/>
          <w:smallCaps w:val="0"/>
          <w:sz w:val="21"/>
          <w:szCs w:val="24"/>
        </w:rPr>
        <w:t>．加强就业市场建设，开辟新的就业途径</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_Toc501407914 \h </w:instrText>
      </w:r>
      <w:r>
        <w:rPr>
          <w:rFonts w:ascii="宋体" w:hAnsi="宋体" w:eastAsia="宋体"/>
          <w:bCs/>
          <w:smallCaps w:val="0"/>
          <w:sz w:val="21"/>
          <w:szCs w:val="24"/>
        </w:rPr>
        <w:fldChar w:fldCharType="separate"/>
      </w:r>
      <w:r>
        <w:rPr>
          <w:rFonts w:ascii="宋体" w:hAnsi="宋体" w:eastAsia="宋体"/>
          <w:bCs/>
          <w:smallCaps w:val="0"/>
          <w:sz w:val="21"/>
          <w:szCs w:val="24"/>
        </w:rPr>
        <w:t>60</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60" w:after="60"/>
        <w:ind w:firstLine="800" w:firstLineChars="400"/>
        <w:rPr>
          <w:rFonts w:ascii="宋体" w:hAnsi="宋体" w:eastAsia="宋体"/>
          <w:bCs/>
          <w:smallCaps w:val="0"/>
          <w:sz w:val="21"/>
          <w:szCs w:val="24"/>
        </w:rPr>
      </w:pPr>
      <w:r>
        <w:fldChar w:fldCharType="begin"/>
      </w:r>
      <w:r>
        <w:instrText xml:space="preserve"> HYPERLINK \l "_Toc501407915" </w:instrText>
      </w:r>
      <w:r>
        <w:fldChar w:fldCharType="separate"/>
      </w:r>
      <w:r>
        <w:rPr>
          <w:rFonts w:ascii="宋体" w:hAnsi="宋体"/>
          <w:bCs/>
          <w:smallCaps w:val="0"/>
          <w:sz w:val="21"/>
          <w:szCs w:val="24"/>
        </w:rPr>
        <w:t>5</w:t>
      </w:r>
      <w:r>
        <w:rPr>
          <w:rFonts w:hint="eastAsia" w:ascii="宋体" w:hAnsi="宋体"/>
          <w:bCs/>
          <w:smallCaps w:val="0"/>
          <w:sz w:val="21"/>
          <w:szCs w:val="24"/>
        </w:rPr>
        <w:t>．鼓励毕业生多渠道就业，加强创业教育</w:t>
      </w:r>
      <w:r>
        <w:rPr>
          <w:rFonts w:ascii="宋体" w:hAnsi="宋体" w:eastAsia="宋体"/>
          <w:bCs/>
          <w:smallCaps w:val="0"/>
          <w:sz w:val="21"/>
          <w:szCs w:val="24"/>
        </w:rPr>
        <w:tab/>
      </w:r>
      <w:r>
        <w:rPr>
          <w:rFonts w:ascii="宋体" w:hAnsi="宋体" w:eastAsia="宋体"/>
          <w:bCs/>
          <w:smallCaps w:val="0"/>
          <w:sz w:val="21"/>
          <w:szCs w:val="24"/>
        </w:rPr>
        <w:fldChar w:fldCharType="begin"/>
      </w:r>
      <w:r>
        <w:rPr>
          <w:rFonts w:ascii="宋体" w:hAnsi="宋体" w:eastAsia="宋体"/>
          <w:bCs/>
          <w:smallCaps w:val="0"/>
          <w:sz w:val="21"/>
          <w:szCs w:val="24"/>
        </w:rPr>
        <w:instrText xml:space="preserve"> PAGEREF _Toc501407915 \h </w:instrText>
      </w:r>
      <w:r>
        <w:rPr>
          <w:rFonts w:ascii="宋体" w:hAnsi="宋体" w:eastAsia="宋体"/>
          <w:bCs/>
          <w:smallCaps w:val="0"/>
          <w:sz w:val="21"/>
          <w:szCs w:val="24"/>
        </w:rPr>
        <w:fldChar w:fldCharType="separate"/>
      </w:r>
      <w:r>
        <w:rPr>
          <w:rFonts w:ascii="宋体" w:hAnsi="宋体" w:eastAsia="宋体"/>
          <w:bCs/>
          <w:smallCaps w:val="0"/>
          <w:sz w:val="21"/>
          <w:szCs w:val="24"/>
        </w:rPr>
        <w:t>60</w:t>
      </w:r>
      <w:r>
        <w:rPr>
          <w:rFonts w:ascii="宋体" w:hAnsi="宋体" w:eastAsia="宋体"/>
          <w:bCs/>
          <w:smallCaps w:val="0"/>
          <w:sz w:val="21"/>
          <w:szCs w:val="24"/>
        </w:rPr>
        <w:fldChar w:fldCharType="end"/>
      </w:r>
      <w:r>
        <w:rPr>
          <w:rFonts w:ascii="宋体" w:hAnsi="宋体" w:eastAsia="宋体"/>
          <w:bCs/>
          <w:smallCaps w:val="0"/>
          <w:sz w:val="21"/>
          <w:szCs w:val="24"/>
        </w:rPr>
        <w:fldChar w:fldCharType="end"/>
      </w:r>
    </w:p>
    <w:p>
      <w:pPr>
        <w:pStyle w:val="19"/>
        <w:tabs>
          <w:tab w:val="right" w:leader="dot" w:pos="8296"/>
        </w:tabs>
        <w:spacing w:before="100" w:after="100"/>
        <w:ind w:firstLine="200" w:firstLineChars="100"/>
        <w:rPr>
          <w:rFonts w:ascii="宋体" w:hAnsi="宋体" w:eastAsia="宋体" w:cs="Times New Roman"/>
          <w:smallCaps w:val="0"/>
          <w:sz w:val="21"/>
        </w:rPr>
      </w:pPr>
      <w:r>
        <w:fldChar w:fldCharType="begin"/>
      </w:r>
      <w:r>
        <w:instrText xml:space="preserve"> HYPERLINK \l "_Toc501407916" </w:instrText>
      </w:r>
      <w:r>
        <w:fldChar w:fldCharType="separate"/>
      </w:r>
      <w:r>
        <w:rPr>
          <w:rFonts w:hint="eastAsia" w:ascii="宋体" w:hAnsi="宋体" w:eastAsia="宋体"/>
          <w:smallCaps w:val="0"/>
          <w:sz w:val="21"/>
        </w:rPr>
        <w:t>四、专业预警及调控措施</w:t>
      </w:r>
      <w:r>
        <w:rPr>
          <w:rFonts w:ascii="宋体" w:hAnsi="宋体" w:eastAsia="宋体" w:cs="Times New Roman"/>
          <w:smallCaps w:val="0"/>
          <w:sz w:val="21"/>
        </w:rPr>
        <w:tab/>
      </w:r>
      <w:r>
        <w:rPr>
          <w:rFonts w:ascii="宋体" w:hAnsi="宋体" w:eastAsia="宋体" w:cs="Times New Roman"/>
          <w:smallCaps w:val="0"/>
          <w:sz w:val="21"/>
        </w:rPr>
        <w:fldChar w:fldCharType="begin"/>
      </w:r>
      <w:r>
        <w:rPr>
          <w:rFonts w:ascii="宋体" w:hAnsi="宋体" w:eastAsia="宋体" w:cs="Times New Roman"/>
          <w:smallCaps w:val="0"/>
          <w:sz w:val="21"/>
        </w:rPr>
        <w:instrText xml:space="preserve"> PAGEREF _Toc501407916 \h </w:instrText>
      </w:r>
      <w:r>
        <w:rPr>
          <w:rFonts w:ascii="宋体" w:hAnsi="宋体" w:eastAsia="宋体" w:cs="Times New Roman"/>
          <w:smallCaps w:val="0"/>
          <w:sz w:val="21"/>
        </w:rPr>
        <w:fldChar w:fldCharType="separate"/>
      </w:r>
      <w:r>
        <w:rPr>
          <w:rFonts w:ascii="宋体" w:hAnsi="宋体" w:eastAsia="宋体" w:cs="Times New Roman"/>
          <w:smallCaps w:val="0"/>
          <w:sz w:val="21"/>
        </w:rPr>
        <w:t>60</w:t>
      </w:r>
      <w:r>
        <w:rPr>
          <w:rFonts w:ascii="宋体" w:hAnsi="宋体" w:eastAsia="宋体" w:cs="Times New Roman"/>
          <w:smallCaps w:val="0"/>
          <w:sz w:val="21"/>
        </w:rPr>
        <w:fldChar w:fldCharType="end"/>
      </w:r>
      <w:r>
        <w:rPr>
          <w:rFonts w:ascii="宋体" w:hAnsi="宋体" w:eastAsia="宋体" w:cs="Times New Roman"/>
          <w:smallCaps w:val="0"/>
          <w:sz w:val="21"/>
        </w:rPr>
        <w:fldChar w:fldCharType="end"/>
      </w:r>
    </w:p>
    <w:p>
      <w:pPr>
        <w:pStyle w:val="19"/>
        <w:tabs>
          <w:tab w:val="right" w:leader="dot" w:pos="8296"/>
        </w:tabs>
        <w:spacing w:before="60" w:after="60"/>
        <w:ind w:firstLine="800" w:firstLineChars="400"/>
        <w:rPr>
          <w:rFonts w:ascii="宋体" w:hAnsi="宋体"/>
          <w:bCs/>
          <w:smallCaps w:val="0"/>
          <w:sz w:val="21"/>
          <w:szCs w:val="24"/>
        </w:rPr>
      </w:pPr>
      <w:r>
        <w:fldChar w:fldCharType="begin"/>
      </w:r>
      <w:r>
        <w:instrText xml:space="preserve"> HYPERLINK \l "_Toc501407917" </w:instrText>
      </w:r>
      <w:r>
        <w:fldChar w:fldCharType="separate"/>
      </w:r>
      <w:r>
        <w:rPr>
          <w:rFonts w:ascii="宋体" w:hAnsi="宋体"/>
          <w:bCs/>
          <w:smallCaps w:val="0"/>
          <w:sz w:val="21"/>
          <w:szCs w:val="24"/>
        </w:rPr>
        <w:t>1</w:t>
      </w:r>
      <w:r>
        <w:rPr>
          <w:rFonts w:hint="eastAsia" w:ascii="宋体" w:hAnsi="宋体"/>
          <w:bCs/>
          <w:smallCaps w:val="0"/>
          <w:sz w:val="21"/>
          <w:szCs w:val="24"/>
        </w:rPr>
        <w:t>．健全就业统计、专业设置和监测管理机制</w:t>
      </w:r>
      <w:r>
        <w:rPr>
          <w:rFonts w:ascii="宋体" w:hAnsi="宋体"/>
          <w:bCs/>
          <w:smallCaps w:val="0"/>
          <w:sz w:val="21"/>
          <w:szCs w:val="24"/>
        </w:rPr>
        <w:tab/>
      </w:r>
      <w:r>
        <w:rPr>
          <w:rFonts w:ascii="宋体" w:hAnsi="宋体"/>
          <w:bCs/>
          <w:smallCaps w:val="0"/>
          <w:sz w:val="21"/>
          <w:szCs w:val="24"/>
        </w:rPr>
        <w:fldChar w:fldCharType="begin"/>
      </w:r>
      <w:r>
        <w:rPr>
          <w:rFonts w:ascii="宋体" w:hAnsi="宋体"/>
          <w:bCs/>
          <w:smallCaps w:val="0"/>
          <w:sz w:val="21"/>
          <w:szCs w:val="24"/>
        </w:rPr>
        <w:instrText xml:space="preserve"> PAGEREF _Toc501407917 \h </w:instrText>
      </w:r>
      <w:r>
        <w:rPr>
          <w:rFonts w:ascii="宋体" w:hAnsi="宋体"/>
          <w:bCs/>
          <w:smallCaps w:val="0"/>
          <w:sz w:val="21"/>
          <w:szCs w:val="24"/>
        </w:rPr>
        <w:fldChar w:fldCharType="separate"/>
      </w:r>
      <w:r>
        <w:rPr>
          <w:rFonts w:ascii="宋体" w:hAnsi="宋体"/>
          <w:bCs/>
          <w:smallCaps w:val="0"/>
          <w:sz w:val="21"/>
          <w:szCs w:val="24"/>
        </w:rPr>
        <w:t>61</w:t>
      </w:r>
      <w:r>
        <w:rPr>
          <w:rFonts w:ascii="宋体" w:hAnsi="宋体"/>
          <w:bCs/>
          <w:smallCaps w:val="0"/>
          <w:sz w:val="21"/>
          <w:szCs w:val="24"/>
        </w:rPr>
        <w:fldChar w:fldCharType="end"/>
      </w:r>
      <w:r>
        <w:rPr>
          <w:rFonts w:ascii="宋体" w:hAnsi="宋体"/>
          <w:bCs/>
          <w:smallCaps w:val="0"/>
          <w:sz w:val="21"/>
          <w:szCs w:val="24"/>
        </w:rPr>
        <w:fldChar w:fldCharType="end"/>
      </w:r>
    </w:p>
    <w:p>
      <w:pPr>
        <w:pStyle w:val="19"/>
        <w:tabs>
          <w:tab w:val="right" w:leader="dot" w:pos="8296"/>
        </w:tabs>
        <w:spacing w:before="60" w:after="60"/>
        <w:ind w:firstLine="800" w:firstLineChars="400"/>
        <w:rPr>
          <w:rFonts w:ascii="宋体" w:hAnsi="宋体"/>
          <w:bCs/>
          <w:smallCaps w:val="0"/>
          <w:sz w:val="21"/>
          <w:szCs w:val="24"/>
        </w:rPr>
      </w:pPr>
      <w:r>
        <w:fldChar w:fldCharType="begin"/>
      </w:r>
      <w:r>
        <w:instrText xml:space="preserve"> HYPERLINK \l "_Toc501407918" </w:instrText>
      </w:r>
      <w:r>
        <w:fldChar w:fldCharType="separate"/>
      </w:r>
      <w:r>
        <w:rPr>
          <w:rFonts w:ascii="宋体" w:hAnsi="宋体"/>
          <w:bCs/>
          <w:smallCaps w:val="0"/>
          <w:sz w:val="21"/>
          <w:szCs w:val="24"/>
        </w:rPr>
        <w:t>2</w:t>
      </w:r>
      <w:r>
        <w:rPr>
          <w:rFonts w:hint="eastAsia" w:ascii="宋体" w:hAnsi="宋体"/>
          <w:bCs/>
          <w:smallCaps w:val="0"/>
          <w:sz w:val="21"/>
          <w:szCs w:val="24"/>
        </w:rPr>
        <w:t>．调整专业招生规模、专业结构和优化专业设置</w:t>
      </w:r>
      <w:r>
        <w:rPr>
          <w:rFonts w:ascii="宋体" w:hAnsi="宋体"/>
          <w:bCs/>
          <w:smallCaps w:val="0"/>
          <w:sz w:val="21"/>
          <w:szCs w:val="24"/>
        </w:rPr>
        <w:tab/>
      </w:r>
      <w:r>
        <w:rPr>
          <w:rFonts w:ascii="宋体" w:hAnsi="宋体"/>
          <w:bCs/>
          <w:smallCaps w:val="0"/>
          <w:sz w:val="21"/>
          <w:szCs w:val="24"/>
        </w:rPr>
        <w:fldChar w:fldCharType="begin"/>
      </w:r>
      <w:r>
        <w:rPr>
          <w:rFonts w:ascii="宋体" w:hAnsi="宋体"/>
          <w:bCs/>
          <w:smallCaps w:val="0"/>
          <w:sz w:val="21"/>
          <w:szCs w:val="24"/>
        </w:rPr>
        <w:instrText xml:space="preserve"> PAGEREF _Toc501407918 \h </w:instrText>
      </w:r>
      <w:r>
        <w:rPr>
          <w:rFonts w:ascii="宋体" w:hAnsi="宋体"/>
          <w:bCs/>
          <w:smallCaps w:val="0"/>
          <w:sz w:val="21"/>
          <w:szCs w:val="24"/>
        </w:rPr>
        <w:fldChar w:fldCharType="separate"/>
      </w:r>
      <w:r>
        <w:rPr>
          <w:rFonts w:ascii="宋体" w:hAnsi="宋体"/>
          <w:bCs/>
          <w:smallCaps w:val="0"/>
          <w:sz w:val="21"/>
          <w:szCs w:val="24"/>
        </w:rPr>
        <w:t>61</w:t>
      </w:r>
      <w:r>
        <w:rPr>
          <w:rFonts w:ascii="宋体" w:hAnsi="宋体"/>
          <w:bCs/>
          <w:smallCaps w:val="0"/>
          <w:sz w:val="21"/>
          <w:szCs w:val="24"/>
        </w:rPr>
        <w:fldChar w:fldCharType="end"/>
      </w:r>
      <w:r>
        <w:rPr>
          <w:rFonts w:ascii="宋体" w:hAnsi="宋体"/>
          <w:bCs/>
          <w:smallCaps w:val="0"/>
          <w:sz w:val="21"/>
          <w:szCs w:val="24"/>
        </w:rPr>
        <w:fldChar w:fldCharType="end"/>
      </w:r>
    </w:p>
    <w:p>
      <w:pPr>
        <w:pStyle w:val="19"/>
        <w:tabs>
          <w:tab w:val="right" w:leader="dot" w:pos="8296"/>
        </w:tabs>
        <w:spacing w:before="60" w:after="60"/>
        <w:ind w:firstLine="800" w:firstLineChars="400"/>
        <w:rPr>
          <w:rFonts w:ascii="宋体" w:hAnsi="宋体"/>
          <w:bCs/>
          <w:smallCaps w:val="0"/>
          <w:sz w:val="21"/>
          <w:szCs w:val="24"/>
        </w:rPr>
      </w:pPr>
      <w:r>
        <w:fldChar w:fldCharType="begin"/>
      </w:r>
      <w:r>
        <w:instrText xml:space="preserve"> HYPERLINK \l "_Toc501407919" </w:instrText>
      </w:r>
      <w:r>
        <w:fldChar w:fldCharType="separate"/>
      </w:r>
      <w:r>
        <w:rPr>
          <w:rFonts w:ascii="宋体" w:hAnsi="宋体"/>
          <w:bCs/>
          <w:smallCaps w:val="0"/>
          <w:sz w:val="21"/>
          <w:szCs w:val="24"/>
        </w:rPr>
        <w:t>3</w:t>
      </w:r>
      <w:r>
        <w:rPr>
          <w:rFonts w:hint="eastAsia" w:ascii="宋体" w:hAnsi="宋体"/>
          <w:bCs/>
          <w:smallCaps w:val="0"/>
          <w:sz w:val="21"/>
          <w:szCs w:val="24"/>
        </w:rPr>
        <w:t>．优化人才培养方案，提高教育教学水平</w:t>
      </w:r>
      <w:r>
        <w:rPr>
          <w:rFonts w:ascii="宋体" w:hAnsi="宋体"/>
          <w:bCs/>
          <w:smallCaps w:val="0"/>
          <w:sz w:val="21"/>
          <w:szCs w:val="24"/>
        </w:rPr>
        <w:tab/>
      </w:r>
      <w:r>
        <w:rPr>
          <w:rFonts w:ascii="宋体" w:hAnsi="宋体"/>
          <w:bCs/>
          <w:smallCaps w:val="0"/>
          <w:sz w:val="21"/>
          <w:szCs w:val="24"/>
        </w:rPr>
        <w:fldChar w:fldCharType="begin"/>
      </w:r>
      <w:r>
        <w:rPr>
          <w:rFonts w:ascii="宋体" w:hAnsi="宋体"/>
          <w:bCs/>
          <w:smallCaps w:val="0"/>
          <w:sz w:val="21"/>
          <w:szCs w:val="24"/>
        </w:rPr>
        <w:instrText xml:space="preserve"> PAGEREF _Toc501407919 \h </w:instrText>
      </w:r>
      <w:r>
        <w:rPr>
          <w:rFonts w:ascii="宋体" w:hAnsi="宋体"/>
          <w:bCs/>
          <w:smallCaps w:val="0"/>
          <w:sz w:val="21"/>
          <w:szCs w:val="24"/>
        </w:rPr>
        <w:fldChar w:fldCharType="separate"/>
      </w:r>
      <w:r>
        <w:rPr>
          <w:rFonts w:ascii="宋体" w:hAnsi="宋体"/>
          <w:bCs/>
          <w:smallCaps w:val="0"/>
          <w:sz w:val="21"/>
          <w:szCs w:val="24"/>
        </w:rPr>
        <w:t>61</w:t>
      </w:r>
      <w:r>
        <w:rPr>
          <w:rFonts w:ascii="宋体" w:hAnsi="宋体"/>
          <w:bCs/>
          <w:smallCaps w:val="0"/>
          <w:sz w:val="21"/>
          <w:szCs w:val="24"/>
        </w:rPr>
        <w:fldChar w:fldCharType="end"/>
      </w:r>
      <w:r>
        <w:rPr>
          <w:rFonts w:ascii="宋体" w:hAnsi="宋体"/>
          <w:bCs/>
          <w:smallCaps w:val="0"/>
          <w:sz w:val="21"/>
          <w:szCs w:val="24"/>
        </w:rPr>
        <w:fldChar w:fldCharType="end"/>
      </w:r>
    </w:p>
    <w:p>
      <w:pPr>
        <w:sectPr>
          <w:pgSz w:w="11906" w:h="16838"/>
          <w:pgMar w:top="1440" w:right="1800" w:bottom="1440" w:left="1800" w:header="851" w:footer="992" w:gutter="0"/>
          <w:pgNumType w:fmt="upperRoman" w:start="1"/>
          <w:cols w:space="425" w:num="1"/>
          <w:docGrid w:type="lines" w:linePitch="312" w:charSpace="0"/>
        </w:sectPr>
      </w:pPr>
      <w:r>
        <w:rPr>
          <w:rFonts w:ascii="宋体" w:hAnsi="宋体" w:eastAsia="宋体" w:cs="Times New Roman"/>
        </w:rPr>
        <w:fldChar w:fldCharType="end"/>
      </w:r>
    </w:p>
    <w:p>
      <w:pPr>
        <w:pStyle w:val="2"/>
        <w:pageBreakBefore/>
        <w:spacing w:before="460" w:after="460" w:line="312" w:lineRule="auto"/>
        <w:jc w:val="center"/>
        <w:rPr>
          <w:rFonts w:ascii="Times New Roman" w:hAnsi="Times New Roman" w:eastAsia="黑体" w:cs="Times New Roman"/>
          <w:bCs w:val="0"/>
          <w:szCs w:val="36"/>
        </w:rPr>
      </w:pPr>
      <w:bookmarkStart w:id="1" w:name="_Toc501407770"/>
      <w:r>
        <w:rPr>
          <w:rFonts w:hint="eastAsia" w:ascii="Times New Roman" w:hAnsi="Times New Roman" w:eastAsia="黑体" w:cs="Times New Roman"/>
          <w:bCs w:val="0"/>
          <w:szCs w:val="36"/>
        </w:rPr>
        <w:t>第一章 2017届毕业生基本情况</w:t>
      </w:r>
      <w:bookmarkEnd w:id="1"/>
    </w:p>
    <w:p>
      <w:pPr>
        <w:pStyle w:val="3"/>
        <w:autoSpaceDE w:val="0"/>
        <w:spacing w:line="312" w:lineRule="auto"/>
        <w:rPr>
          <w:rFonts w:ascii="Times New Roman" w:hAnsi="Times New Roman" w:eastAsia="黑体" w:cs="Times New Roman"/>
        </w:rPr>
      </w:pPr>
      <w:bookmarkStart w:id="2" w:name="_Toc408917446"/>
      <w:bookmarkStart w:id="3" w:name="_Toc414290613"/>
      <w:bookmarkStart w:id="4" w:name="_Toc404065263"/>
      <w:bookmarkStart w:id="5" w:name="_Toc403981269"/>
      <w:bookmarkStart w:id="6" w:name="_Toc408917160"/>
      <w:bookmarkStart w:id="7" w:name="_Toc501407771"/>
      <w:r>
        <w:rPr>
          <w:rFonts w:hint="eastAsia" w:ascii="Times New Roman" w:hAnsi="Times New Roman" w:eastAsia="黑体" w:cs="Times New Roman"/>
        </w:rPr>
        <w:t>一、</w:t>
      </w:r>
      <w:bookmarkEnd w:id="2"/>
      <w:bookmarkEnd w:id="3"/>
      <w:bookmarkEnd w:id="4"/>
      <w:bookmarkEnd w:id="5"/>
      <w:bookmarkEnd w:id="6"/>
      <w:r>
        <w:rPr>
          <w:rFonts w:hint="eastAsia" w:ascii="Times New Roman" w:hAnsi="Times New Roman" w:eastAsia="黑体" w:cs="Times New Roman"/>
        </w:rPr>
        <w:t>2017届毕业生的规模和结构</w:t>
      </w:r>
      <w:bookmarkEnd w:id="7"/>
    </w:p>
    <w:p>
      <w:pPr>
        <w:pStyle w:val="4"/>
        <w:autoSpaceDE w:val="0"/>
        <w:spacing w:beforeLines="0" w:afterLines="0" w:line="312" w:lineRule="auto"/>
        <w:ind w:firstLine="0" w:firstLineChars="0"/>
        <w:jc w:val="both"/>
        <w:rPr>
          <w:rFonts w:eastAsia="黑体"/>
          <w:bCs w:val="0"/>
          <w:snapToGrid/>
          <w:sz w:val="28"/>
          <w:szCs w:val="28"/>
        </w:rPr>
      </w:pPr>
      <w:bookmarkStart w:id="8" w:name="_Toc404807091"/>
      <w:bookmarkStart w:id="9" w:name="_Toc405799177"/>
      <w:bookmarkStart w:id="10" w:name="_Toc25137"/>
      <w:bookmarkStart w:id="11" w:name="_Toc27204"/>
      <w:bookmarkStart w:id="12" w:name="_Toc501407772"/>
      <w:r>
        <w:rPr>
          <w:rFonts w:hint="eastAsia" w:eastAsia="黑体"/>
          <w:bCs w:val="0"/>
          <w:snapToGrid/>
          <w:sz w:val="28"/>
          <w:szCs w:val="28"/>
        </w:rPr>
        <w:t>（一） 2017届毕业生规模</w:t>
      </w:r>
      <w:bookmarkEnd w:id="8"/>
      <w:bookmarkEnd w:id="9"/>
      <w:bookmarkEnd w:id="10"/>
      <w:bookmarkEnd w:id="11"/>
      <w:bookmarkEnd w:id="12"/>
    </w:p>
    <w:p>
      <w:pPr>
        <w:autoSpaceDE w:val="0"/>
        <w:spacing w:line="360" w:lineRule="auto"/>
        <w:ind w:firstLine="480" w:firstLineChars="200"/>
        <w:rPr>
          <w:rFonts w:ascii="Times New Roman" w:hAnsi="Times New Roman" w:cs="Times New Roman"/>
          <w:sz w:val="24"/>
          <w:szCs w:val="24"/>
        </w:rPr>
      </w:pPr>
      <w:r>
        <w:rPr>
          <w:rFonts w:ascii="Times New Roman" w:hAnsi="Times New Roman" w:eastAsia="宋体" w:cs="Times New Roman"/>
          <w:sz w:val="24"/>
          <w:szCs w:val="24"/>
        </w:rPr>
        <w:t>河北传媒学院20</w:t>
      </w:r>
      <w:r>
        <w:rPr>
          <w:rFonts w:hint="eastAsia" w:ascii="Times New Roman" w:hAnsi="Times New Roman" w:eastAsia="宋体" w:cs="Times New Roman"/>
          <w:sz w:val="24"/>
          <w:szCs w:val="24"/>
        </w:rPr>
        <w:t>17</w:t>
      </w:r>
      <w:r>
        <w:rPr>
          <w:rFonts w:ascii="Times New Roman" w:hAnsi="Times New Roman" w:eastAsia="宋体" w:cs="Times New Roman"/>
          <w:sz w:val="24"/>
          <w:szCs w:val="24"/>
        </w:rPr>
        <w:t>届毕业生共</w:t>
      </w:r>
      <w:r>
        <w:rPr>
          <w:rFonts w:hint="eastAsia" w:ascii="Times New Roman" w:hAnsi="Times New Roman" w:eastAsia="宋体" w:cs="Times New Roman"/>
          <w:sz w:val="24"/>
          <w:szCs w:val="24"/>
        </w:rPr>
        <w:t>3793</w:t>
      </w:r>
      <w:r>
        <w:rPr>
          <w:rFonts w:ascii="Times New Roman" w:hAnsi="Times New Roman" w:eastAsia="宋体" w:cs="Times New Roman"/>
          <w:sz w:val="24"/>
          <w:szCs w:val="24"/>
        </w:rPr>
        <w:t>人，其中本科毕业生</w:t>
      </w:r>
      <w:r>
        <w:rPr>
          <w:rFonts w:hint="eastAsia" w:ascii="Times New Roman" w:hAnsi="Times New Roman" w:eastAsia="宋体" w:cs="Times New Roman"/>
          <w:sz w:val="24"/>
          <w:szCs w:val="24"/>
        </w:rPr>
        <w:t>3100</w:t>
      </w:r>
      <w:r>
        <w:rPr>
          <w:rFonts w:ascii="Times New Roman" w:hAnsi="Times New Roman" w:eastAsia="宋体" w:cs="Times New Roman"/>
          <w:sz w:val="24"/>
          <w:szCs w:val="24"/>
        </w:rPr>
        <w:t>人，占</w:t>
      </w:r>
      <w:r>
        <w:rPr>
          <w:rFonts w:hint="eastAsia" w:ascii="Times New Roman" w:hAnsi="Times New Roman" w:eastAsia="宋体" w:cs="Times New Roman"/>
          <w:sz w:val="24"/>
          <w:szCs w:val="24"/>
        </w:rPr>
        <w:t>81.73</w:t>
      </w:r>
      <w:r>
        <w:rPr>
          <w:rFonts w:ascii="Times New Roman" w:hAnsi="Times New Roman" w:eastAsia="宋体" w:cs="Times New Roman"/>
          <w:sz w:val="24"/>
          <w:szCs w:val="24"/>
        </w:rPr>
        <w:t>%，专科毕业生</w:t>
      </w:r>
      <w:r>
        <w:rPr>
          <w:rFonts w:hint="eastAsia" w:ascii="Times New Roman" w:hAnsi="Times New Roman" w:eastAsia="宋体" w:cs="Times New Roman"/>
          <w:sz w:val="24"/>
          <w:szCs w:val="24"/>
        </w:rPr>
        <w:t>693</w:t>
      </w:r>
      <w:r>
        <w:rPr>
          <w:rFonts w:ascii="Times New Roman" w:hAnsi="Times New Roman" w:eastAsia="宋体" w:cs="Times New Roman"/>
          <w:sz w:val="24"/>
          <w:szCs w:val="24"/>
        </w:rPr>
        <w:t>人，占</w:t>
      </w:r>
      <w:r>
        <w:rPr>
          <w:rFonts w:hint="eastAsia" w:ascii="Times New Roman" w:hAnsi="Times New Roman" w:eastAsia="宋体" w:cs="Times New Roman"/>
          <w:sz w:val="24"/>
          <w:szCs w:val="24"/>
        </w:rPr>
        <w:t>18.27</w:t>
      </w:r>
      <w:r>
        <w:rPr>
          <w:rFonts w:ascii="Times New Roman" w:hAnsi="Times New Roman" w:eastAsia="宋体" w:cs="Times New Roman"/>
          <w:sz w:val="24"/>
          <w:szCs w:val="24"/>
        </w:rPr>
        <w:t>%。</w:t>
      </w:r>
    </w:p>
    <w:p>
      <w:pPr>
        <w:autoSpaceDE w:val="0"/>
        <w:spacing w:line="360" w:lineRule="auto"/>
        <w:ind w:firstLine="480" w:firstLineChars="200"/>
        <w:jc w:val="center"/>
        <w:rPr>
          <w:rFonts w:ascii="Times New Roman" w:hAnsi="Times New Roman" w:eastAsia="宋体" w:cs="Times New Roman"/>
          <w:sz w:val="24"/>
          <w:szCs w:val="24"/>
        </w:rPr>
      </w:pPr>
      <w:r>
        <w:rPr>
          <w:rFonts w:ascii="Times New Roman" w:hAnsi="Times New Roman" w:eastAsia="宋体" w:cs="Times New Roman"/>
          <w:sz w:val="24"/>
          <w:szCs w:val="24"/>
        </w:rPr>
        <w:drawing>
          <wp:inline distT="0" distB="0" distL="0" distR="0">
            <wp:extent cx="5285105" cy="1676400"/>
            <wp:effectExtent l="0" t="0" r="0" b="0"/>
            <wp:docPr id="263" name="图片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263"/>
                    <pic:cNvPicPr>
                      <a:picLocks noChangeAspect="1"/>
                    </pic:cNvPicPr>
                  </pic:nvPicPr>
                  <pic:blipFill>
                    <a:blip r:embed="rId9"/>
                    <a:stretch>
                      <a:fillRect/>
                    </a:stretch>
                  </pic:blipFill>
                  <pic:spPr>
                    <a:xfrm>
                      <a:off x="0" y="0"/>
                      <a:ext cx="5282817" cy="1675593"/>
                    </a:xfrm>
                    <a:prstGeom prst="rect">
                      <a:avLst/>
                    </a:prstGeom>
                  </pic:spPr>
                </pic:pic>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图1</w:t>
      </w:r>
      <w:r>
        <w:rPr>
          <w:rFonts w:ascii="Times New Roman" w:hAnsi="Times New Roman" w:eastAsia="宋体" w:cs="Times New Roman"/>
          <w:snapToGrid w:val="0"/>
          <w:sz w:val="24"/>
          <w:szCs w:val="24"/>
        </w:rPr>
        <w:t>-1</w:t>
      </w:r>
      <w:r>
        <w:rPr>
          <w:rFonts w:hint="eastAsia" w:ascii="Times New Roman" w:hAnsi="Times New Roman" w:eastAsia="宋体" w:cs="Times New Roman"/>
          <w:snapToGrid w:val="0"/>
          <w:sz w:val="24"/>
          <w:szCs w:val="24"/>
        </w:rPr>
        <w:t xml:space="preserve"> 2017届毕业生</w:t>
      </w:r>
      <w:r>
        <w:rPr>
          <w:rFonts w:ascii="Times New Roman" w:hAnsi="Times New Roman" w:eastAsia="宋体" w:cs="Times New Roman"/>
          <w:snapToGrid w:val="0"/>
          <w:sz w:val="24"/>
          <w:szCs w:val="24"/>
        </w:rPr>
        <w:t>总体</w:t>
      </w:r>
      <w:r>
        <w:rPr>
          <w:rFonts w:hint="eastAsia" w:ascii="Times New Roman" w:hAnsi="Times New Roman" w:eastAsia="宋体" w:cs="Times New Roman"/>
          <w:snapToGrid w:val="0"/>
          <w:sz w:val="24"/>
          <w:szCs w:val="24"/>
        </w:rPr>
        <w:t>规模</w:t>
      </w:r>
    </w:p>
    <w:p>
      <w:pPr>
        <w:pStyle w:val="4"/>
        <w:autoSpaceDE w:val="0"/>
        <w:spacing w:beforeLines="0" w:afterLines="0" w:line="312" w:lineRule="auto"/>
        <w:ind w:firstLine="0" w:firstLineChars="0"/>
        <w:jc w:val="both"/>
        <w:rPr>
          <w:rFonts w:eastAsia="黑体"/>
          <w:bCs w:val="0"/>
          <w:snapToGrid/>
          <w:sz w:val="28"/>
          <w:szCs w:val="28"/>
        </w:rPr>
      </w:pPr>
      <w:bookmarkStart w:id="13" w:name="_Toc6365"/>
      <w:bookmarkStart w:id="14" w:name="_Toc501407773"/>
      <w:bookmarkStart w:id="15" w:name="_Toc430099477"/>
      <w:bookmarkStart w:id="16" w:name="_Toc425351637"/>
      <w:bookmarkStart w:id="17" w:name="_Toc425351774"/>
      <w:bookmarkStart w:id="18" w:name="_Toc429218576"/>
      <w:r>
        <w:rPr>
          <w:rFonts w:hint="eastAsia" w:eastAsia="黑体"/>
          <w:bCs w:val="0"/>
          <w:snapToGrid/>
          <w:sz w:val="28"/>
          <w:szCs w:val="28"/>
        </w:rPr>
        <w:t>（二） 2017届毕业生结构</w:t>
      </w:r>
      <w:bookmarkEnd w:id="13"/>
      <w:bookmarkEnd w:id="14"/>
    </w:p>
    <w:bookmarkEnd w:id="15"/>
    <w:bookmarkEnd w:id="16"/>
    <w:bookmarkEnd w:id="17"/>
    <w:bookmarkEnd w:id="18"/>
    <w:p>
      <w:pPr>
        <w:pStyle w:val="33"/>
        <w:spacing w:before="180" w:after="180" w:afterLines="0" w:line="360" w:lineRule="auto"/>
        <w:ind w:firstLine="482" w:firstLineChars="200"/>
        <w:outlineLvl w:val="2"/>
        <w:rPr>
          <w:rFonts w:ascii="Times New Roman" w:hAnsi="Times New Roman" w:eastAsia="宋体"/>
          <w:sz w:val="24"/>
          <w:szCs w:val="24"/>
        </w:rPr>
      </w:pPr>
      <w:bookmarkStart w:id="19" w:name="_Toc501407774"/>
      <w:r>
        <w:rPr>
          <w:rFonts w:hint="eastAsia" w:ascii="Times New Roman" w:hAnsi="Times New Roman" w:eastAsia="宋体"/>
          <w:sz w:val="24"/>
          <w:szCs w:val="24"/>
        </w:rPr>
        <w:t>1．2017届毕业生性别</w:t>
      </w:r>
      <w:r>
        <w:rPr>
          <w:rFonts w:ascii="Times New Roman" w:hAnsi="Times New Roman" w:eastAsia="宋体"/>
          <w:sz w:val="24"/>
          <w:szCs w:val="24"/>
        </w:rPr>
        <w:t>结构</w:t>
      </w:r>
      <w:r>
        <w:rPr>
          <w:rFonts w:hint="eastAsia" w:ascii="Times New Roman" w:hAnsi="Times New Roman" w:eastAsia="宋体"/>
          <w:sz w:val="24"/>
          <w:szCs w:val="24"/>
        </w:rPr>
        <w:t>分布情况</w:t>
      </w:r>
      <w:bookmarkEnd w:id="19"/>
    </w:p>
    <w:p>
      <w:pPr>
        <w:autoSpaceDE w:val="0"/>
        <w:spacing w:line="360" w:lineRule="auto"/>
        <w:ind w:firstLine="480" w:firstLineChars="200"/>
        <w:rPr>
          <w:rFonts w:ascii="Times New Roman" w:hAnsi="Times New Roman" w:cs="Times New Roman"/>
          <w:sz w:val="24"/>
          <w:szCs w:val="24"/>
        </w:rPr>
      </w:pPr>
      <w:r>
        <w:rPr>
          <w:rFonts w:ascii="Times New Roman" w:hAnsi="Times New Roman" w:eastAsia="宋体" w:cs="Times New Roman"/>
          <w:sz w:val="24"/>
          <w:szCs w:val="24"/>
        </w:rPr>
        <w:t>学校20</w:t>
      </w:r>
      <w:r>
        <w:rPr>
          <w:rFonts w:hint="eastAsia" w:ascii="Times New Roman" w:hAnsi="Times New Roman" w:eastAsia="宋体" w:cs="Times New Roman"/>
          <w:sz w:val="24"/>
          <w:szCs w:val="24"/>
        </w:rPr>
        <w:t>17</w:t>
      </w:r>
      <w:r>
        <w:rPr>
          <w:rFonts w:ascii="Times New Roman" w:hAnsi="Times New Roman" w:eastAsia="宋体" w:cs="Times New Roman"/>
          <w:sz w:val="24"/>
          <w:szCs w:val="24"/>
        </w:rPr>
        <w:t>届毕业生中，男生1</w:t>
      </w:r>
      <w:r>
        <w:rPr>
          <w:rFonts w:hint="eastAsia" w:ascii="Times New Roman" w:hAnsi="Times New Roman" w:eastAsia="宋体" w:cs="Times New Roman"/>
          <w:sz w:val="24"/>
          <w:szCs w:val="24"/>
        </w:rPr>
        <w:t>458</w:t>
      </w:r>
      <w:r>
        <w:rPr>
          <w:rFonts w:ascii="Times New Roman" w:hAnsi="Times New Roman" w:eastAsia="宋体" w:cs="Times New Roman"/>
          <w:sz w:val="24"/>
          <w:szCs w:val="24"/>
        </w:rPr>
        <w:t>人，占毕业生总人数的3</w:t>
      </w:r>
      <w:r>
        <w:rPr>
          <w:rFonts w:hint="eastAsia" w:ascii="Times New Roman" w:hAnsi="Times New Roman" w:eastAsia="宋体" w:cs="Times New Roman"/>
          <w:sz w:val="24"/>
          <w:szCs w:val="24"/>
        </w:rPr>
        <w:t>8</w:t>
      </w:r>
      <w:r>
        <w:rPr>
          <w:rFonts w:ascii="Times New Roman" w:hAnsi="Times New Roman" w:eastAsia="宋体" w:cs="Times New Roman"/>
          <w:sz w:val="24"/>
          <w:szCs w:val="24"/>
        </w:rPr>
        <w:t>.</w:t>
      </w:r>
      <w:r>
        <w:rPr>
          <w:rFonts w:hint="eastAsia" w:ascii="Times New Roman" w:hAnsi="Times New Roman" w:eastAsia="宋体" w:cs="Times New Roman"/>
          <w:sz w:val="24"/>
          <w:szCs w:val="24"/>
        </w:rPr>
        <w:t>44</w:t>
      </w:r>
      <w:r>
        <w:rPr>
          <w:rFonts w:ascii="Times New Roman" w:hAnsi="Times New Roman" w:eastAsia="宋体" w:cs="Times New Roman"/>
          <w:sz w:val="24"/>
          <w:szCs w:val="24"/>
        </w:rPr>
        <w:t>%；女生2</w:t>
      </w:r>
      <w:r>
        <w:rPr>
          <w:rFonts w:hint="eastAsia" w:ascii="Times New Roman" w:hAnsi="Times New Roman" w:eastAsia="宋体" w:cs="Times New Roman"/>
          <w:sz w:val="24"/>
          <w:szCs w:val="24"/>
        </w:rPr>
        <w:t>335</w:t>
      </w:r>
      <w:r>
        <w:rPr>
          <w:rFonts w:ascii="Times New Roman" w:hAnsi="Times New Roman" w:eastAsia="宋体" w:cs="Times New Roman"/>
          <w:sz w:val="24"/>
          <w:szCs w:val="24"/>
        </w:rPr>
        <w:t>人，占毕业总人数的6</w:t>
      </w:r>
      <w:r>
        <w:rPr>
          <w:rFonts w:hint="eastAsia" w:ascii="Times New Roman" w:hAnsi="Times New Roman" w:eastAsia="宋体" w:cs="Times New Roman"/>
          <w:sz w:val="24"/>
          <w:szCs w:val="24"/>
        </w:rPr>
        <w:t>1</w:t>
      </w:r>
      <w:r>
        <w:rPr>
          <w:rFonts w:ascii="Times New Roman" w:hAnsi="Times New Roman" w:eastAsia="宋体" w:cs="Times New Roman"/>
          <w:sz w:val="24"/>
          <w:szCs w:val="24"/>
        </w:rPr>
        <w:t>.</w:t>
      </w:r>
      <w:r>
        <w:rPr>
          <w:rFonts w:hint="eastAsia" w:ascii="Times New Roman" w:hAnsi="Times New Roman" w:eastAsia="宋体" w:cs="Times New Roman"/>
          <w:sz w:val="24"/>
          <w:szCs w:val="24"/>
        </w:rPr>
        <w:t>56</w:t>
      </w:r>
      <w:r>
        <w:rPr>
          <w:rFonts w:ascii="Times New Roman" w:hAnsi="Times New Roman" w:eastAsia="宋体" w:cs="Times New Roman"/>
          <w:sz w:val="24"/>
          <w:szCs w:val="24"/>
        </w:rPr>
        <w:t>%，总体男女性别比为0.</w:t>
      </w:r>
      <w:r>
        <w:rPr>
          <w:rFonts w:hint="eastAsia" w:ascii="Times New Roman" w:hAnsi="Times New Roman" w:eastAsia="宋体" w:cs="Times New Roman"/>
          <w:sz w:val="24"/>
          <w:szCs w:val="24"/>
        </w:rPr>
        <w:t>62</w:t>
      </w:r>
      <w:r>
        <w:rPr>
          <w:rFonts w:ascii="Times New Roman" w:hAnsi="Times New Roman" w:eastAsia="宋体" w:cs="Times New Roman"/>
          <w:sz w:val="24"/>
          <w:szCs w:val="24"/>
        </w:rPr>
        <w:t>:1。分学历来看，各种学历的女生均多于男生，其中本科生男女性别比为0.5</w:t>
      </w:r>
      <w:r>
        <w:rPr>
          <w:rFonts w:hint="eastAsia" w:ascii="Times New Roman" w:hAnsi="Times New Roman" w:eastAsia="宋体" w:cs="Times New Roman"/>
          <w:sz w:val="24"/>
          <w:szCs w:val="24"/>
        </w:rPr>
        <w:t>7</w:t>
      </w:r>
      <w:r>
        <w:rPr>
          <w:rFonts w:ascii="Times New Roman" w:hAnsi="Times New Roman" w:eastAsia="宋体" w:cs="Times New Roman"/>
          <w:sz w:val="24"/>
          <w:szCs w:val="24"/>
        </w:rPr>
        <w:t>:1</w:t>
      </w:r>
      <w:r>
        <w:rPr>
          <w:rFonts w:hint="eastAsia" w:ascii="Times New Roman" w:hAnsi="Times New Roman" w:eastAsia="宋体" w:cs="Times New Roman"/>
          <w:sz w:val="24"/>
          <w:szCs w:val="24"/>
        </w:rPr>
        <w:t>，专科生男女性别比例为0.93:1</w:t>
      </w:r>
      <w:r>
        <w:rPr>
          <w:rFonts w:ascii="Times New Roman" w:hAnsi="Times New Roman" w:eastAsia="宋体" w:cs="Times New Roman"/>
          <w:sz w:val="24"/>
          <w:szCs w:val="24"/>
        </w:rPr>
        <w:t>。</w:t>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表1-1 2017届不同学历层次毕业生性别结构分布</w:t>
      </w:r>
    </w:p>
    <w:tbl>
      <w:tblPr>
        <w:tblStyle w:val="26"/>
        <w:tblW w:w="8522" w:type="dxa"/>
        <w:tblInd w:w="0" w:type="dxa"/>
        <w:tblLayout w:type="fixed"/>
        <w:tblCellMar>
          <w:top w:w="0" w:type="dxa"/>
          <w:left w:w="108" w:type="dxa"/>
          <w:bottom w:w="0" w:type="dxa"/>
          <w:right w:w="108" w:type="dxa"/>
        </w:tblCellMar>
      </w:tblPr>
      <w:tblGrid>
        <w:gridCol w:w="1420"/>
        <w:gridCol w:w="1420"/>
        <w:gridCol w:w="1420"/>
        <w:gridCol w:w="1420"/>
        <w:gridCol w:w="1421"/>
        <w:gridCol w:w="1421"/>
      </w:tblGrid>
      <w:tr>
        <w:tblPrEx>
          <w:tblLayout w:type="fixed"/>
          <w:tblCellMar>
            <w:top w:w="0" w:type="dxa"/>
            <w:left w:w="108" w:type="dxa"/>
            <w:bottom w:w="0" w:type="dxa"/>
            <w:right w:w="108" w:type="dxa"/>
          </w:tblCellMar>
        </w:tblPrEx>
        <w:trPr>
          <w:trHeight w:val="284" w:hRule="atLeast"/>
        </w:trPr>
        <w:tc>
          <w:tcPr>
            <w:tcW w:w="1420" w:type="dxa"/>
            <w:vMerge w:val="restart"/>
            <w:tcBorders>
              <w:top w:val="single" w:color="4BACC6" w:sz="8" w:space="0"/>
              <w:left w:val="single" w:color="4BACC6" w:sz="8" w:space="0"/>
              <w:bottom w:val="single" w:color="FFFFFF" w:sz="8" w:space="0"/>
              <w:right w:val="single" w:color="4BACC6" w:sz="8" w:space="0"/>
            </w:tcBorders>
            <w:shd w:val="clear" w:color="auto" w:fill="4BACC6"/>
            <w:vAlign w:val="center"/>
          </w:tcPr>
          <w:p>
            <w:pPr>
              <w:widowControl/>
              <w:jc w:val="center"/>
              <w:textAlignment w:val="bottom"/>
              <w:rPr>
                <w:rFonts w:ascii="Arial" w:hAnsi="Arial" w:eastAsia="宋体" w:cs="Arial"/>
                <w:b/>
                <w:sz w:val="20"/>
                <w:szCs w:val="21"/>
              </w:rPr>
            </w:pPr>
            <w:r>
              <w:rPr>
                <w:rFonts w:ascii="Arial" w:hAnsi="Arial" w:eastAsia="宋体" w:cs="Arial"/>
                <w:b/>
                <w:kern w:val="0"/>
                <w:sz w:val="20"/>
                <w:szCs w:val="21"/>
                <w:lang w:bidi="ar"/>
              </w:rPr>
              <w:t>本科生毕业</w:t>
            </w:r>
          </w:p>
        </w:tc>
        <w:tc>
          <w:tcPr>
            <w:tcW w:w="2840" w:type="dxa"/>
            <w:gridSpan w:val="2"/>
            <w:tcBorders>
              <w:top w:val="single" w:color="4BACC6" w:sz="8" w:space="0"/>
              <w:left w:val="single" w:color="4BACC6" w:sz="8" w:space="0"/>
              <w:bottom w:val="single" w:color="FFFFFF" w:sz="8" w:space="0"/>
              <w:right w:val="single" w:color="4BACC6" w:sz="8" w:space="0"/>
            </w:tcBorders>
            <w:shd w:val="clear" w:color="auto" w:fill="4BACC6"/>
            <w:vAlign w:val="center"/>
          </w:tcPr>
          <w:p>
            <w:pPr>
              <w:widowControl/>
              <w:jc w:val="center"/>
              <w:textAlignment w:val="bottom"/>
              <w:rPr>
                <w:rFonts w:ascii="Arial" w:hAnsi="Arial" w:eastAsia="宋体" w:cs="Arial"/>
                <w:b/>
                <w:sz w:val="20"/>
                <w:szCs w:val="21"/>
              </w:rPr>
            </w:pPr>
            <w:r>
              <w:rPr>
                <w:rFonts w:hint="eastAsia" w:ascii="Arial" w:hAnsi="Arial" w:eastAsia="宋体" w:cs="Arial"/>
                <w:b/>
                <w:sz w:val="20"/>
                <w:szCs w:val="21"/>
              </w:rPr>
              <w:t>男</w:t>
            </w:r>
          </w:p>
        </w:tc>
        <w:tc>
          <w:tcPr>
            <w:tcW w:w="2841" w:type="dxa"/>
            <w:gridSpan w:val="2"/>
            <w:tcBorders>
              <w:top w:val="single" w:color="4BACC6" w:sz="8" w:space="0"/>
              <w:left w:val="single" w:color="4BACC6" w:sz="8" w:space="0"/>
              <w:bottom w:val="single" w:color="FFFFFF" w:sz="8" w:space="0"/>
              <w:right w:val="single" w:color="4BACC6" w:sz="8" w:space="0"/>
            </w:tcBorders>
            <w:shd w:val="clear" w:color="auto" w:fill="4BACC6"/>
            <w:vAlign w:val="center"/>
          </w:tcPr>
          <w:p>
            <w:pPr>
              <w:widowControl/>
              <w:jc w:val="center"/>
              <w:textAlignment w:val="bottom"/>
              <w:rPr>
                <w:rFonts w:ascii="Arial" w:hAnsi="Arial" w:eastAsia="宋体" w:cs="Arial"/>
                <w:b/>
                <w:sz w:val="20"/>
                <w:szCs w:val="21"/>
              </w:rPr>
            </w:pPr>
            <w:r>
              <w:rPr>
                <w:rFonts w:hint="eastAsia" w:ascii="Arial" w:hAnsi="Arial" w:eastAsia="宋体" w:cs="Arial"/>
                <w:b/>
                <w:sz w:val="20"/>
                <w:szCs w:val="21"/>
              </w:rPr>
              <w:t>女</w:t>
            </w:r>
          </w:p>
        </w:tc>
        <w:tc>
          <w:tcPr>
            <w:tcW w:w="1421" w:type="dxa"/>
            <w:vMerge w:val="restart"/>
            <w:tcBorders>
              <w:top w:val="single" w:color="4BACC6" w:sz="8" w:space="0"/>
              <w:left w:val="single" w:color="4BACC6" w:sz="8" w:space="0"/>
              <w:bottom w:val="single" w:color="FFFFFF" w:sz="8" w:space="0"/>
              <w:right w:val="single" w:color="4BACC6" w:sz="8" w:space="0"/>
            </w:tcBorders>
            <w:shd w:val="clear" w:color="auto" w:fill="4BACC6"/>
            <w:vAlign w:val="center"/>
          </w:tcPr>
          <w:p>
            <w:pPr>
              <w:widowControl/>
              <w:jc w:val="center"/>
              <w:textAlignment w:val="bottom"/>
              <w:rPr>
                <w:rFonts w:ascii="Arial" w:hAnsi="Arial" w:eastAsia="宋体" w:cs="Arial"/>
                <w:b/>
                <w:kern w:val="0"/>
                <w:sz w:val="20"/>
                <w:szCs w:val="21"/>
                <w:lang w:bidi="ar"/>
              </w:rPr>
            </w:pPr>
            <w:r>
              <w:rPr>
                <w:rFonts w:hint="eastAsia" w:ascii="Arial" w:hAnsi="Arial" w:eastAsia="宋体" w:cs="Arial"/>
                <w:b/>
                <w:kern w:val="0"/>
                <w:sz w:val="20"/>
                <w:szCs w:val="21"/>
                <w:lang w:bidi="ar"/>
              </w:rPr>
              <w:t>男女性别比</w:t>
            </w:r>
          </w:p>
        </w:tc>
      </w:tr>
      <w:tr>
        <w:tblPrEx>
          <w:tblLayout w:type="fixed"/>
          <w:tblCellMar>
            <w:top w:w="0" w:type="dxa"/>
            <w:left w:w="108" w:type="dxa"/>
            <w:bottom w:w="0" w:type="dxa"/>
            <w:right w:w="108" w:type="dxa"/>
          </w:tblCellMar>
        </w:tblPrEx>
        <w:trPr>
          <w:trHeight w:val="284" w:hRule="atLeast"/>
        </w:trPr>
        <w:tc>
          <w:tcPr>
            <w:tcW w:w="1420" w:type="dxa"/>
            <w:vMerge w:val="continue"/>
            <w:tcBorders>
              <w:top w:val="single" w:color="FFFFFF"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kern w:val="0"/>
                <w:sz w:val="20"/>
                <w:szCs w:val="21"/>
                <w:lang w:bidi="ar"/>
              </w:rPr>
            </w:pPr>
          </w:p>
        </w:tc>
        <w:tc>
          <w:tcPr>
            <w:tcW w:w="1420" w:type="dxa"/>
            <w:tcBorders>
              <w:top w:val="single" w:color="FFFFFF"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b/>
                <w:kern w:val="0"/>
                <w:sz w:val="20"/>
                <w:szCs w:val="21"/>
                <w:lang w:bidi="ar"/>
              </w:rPr>
            </w:pPr>
            <w:r>
              <w:rPr>
                <w:rFonts w:hint="eastAsia" w:ascii="Arial" w:hAnsi="Arial" w:eastAsia="宋体" w:cs="Arial"/>
                <w:b/>
                <w:kern w:val="0"/>
                <w:sz w:val="20"/>
                <w:szCs w:val="21"/>
                <w:lang w:bidi="ar"/>
              </w:rPr>
              <w:t>人数</w:t>
            </w:r>
          </w:p>
        </w:tc>
        <w:tc>
          <w:tcPr>
            <w:tcW w:w="1420" w:type="dxa"/>
            <w:tcBorders>
              <w:top w:val="single" w:color="FFFFFF"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b/>
                <w:kern w:val="0"/>
                <w:sz w:val="20"/>
                <w:szCs w:val="21"/>
                <w:lang w:bidi="ar"/>
              </w:rPr>
            </w:pPr>
            <w:r>
              <w:rPr>
                <w:rFonts w:hint="eastAsia" w:ascii="Arial" w:hAnsi="Arial" w:eastAsia="宋体" w:cs="Arial"/>
                <w:b/>
                <w:kern w:val="0"/>
                <w:sz w:val="20"/>
                <w:szCs w:val="21"/>
                <w:lang w:bidi="ar"/>
              </w:rPr>
              <w:t>比例</w:t>
            </w:r>
          </w:p>
        </w:tc>
        <w:tc>
          <w:tcPr>
            <w:tcW w:w="1420" w:type="dxa"/>
            <w:tcBorders>
              <w:top w:val="single" w:color="FFFFFF"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b/>
                <w:kern w:val="0"/>
                <w:sz w:val="20"/>
                <w:szCs w:val="21"/>
                <w:lang w:bidi="ar"/>
              </w:rPr>
            </w:pPr>
            <w:r>
              <w:rPr>
                <w:rFonts w:hint="eastAsia" w:ascii="Arial" w:hAnsi="Arial" w:eastAsia="宋体" w:cs="Arial"/>
                <w:b/>
                <w:kern w:val="0"/>
                <w:sz w:val="20"/>
                <w:szCs w:val="21"/>
                <w:lang w:bidi="ar"/>
              </w:rPr>
              <w:t>人数</w:t>
            </w:r>
          </w:p>
        </w:tc>
        <w:tc>
          <w:tcPr>
            <w:tcW w:w="1421" w:type="dxa"/>
            <w:tcBorders>
              <w:top w:val="single" w:color="FFFFFF"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b/>
                <w:kern w:val="0"/>
                <w:sz w:val="20"/>
                <w:szCs w:val="21"/>
                <w:lang w:bidi="ar"/>
              </w:rPr>
            </w:pPr>
            <w:r>
              <w:rPr>
                <w:rFonts w:hint="eastAsia" w:ascii="Arial" w:hAnsi="Arial" w:eastAsia="宋体" w:cs="Arial"/>
                <w:b/>
                <w:kern w:val="0"/>
                <w:sz w:val="20"/>
                <w:szCs w:val="21"/>
                <w:lang w:bidi="ar"/>
              </w:rPr>
              <w:t>比例</w:t>
            </w:r>
          </w:p>
        </w:tc>
        <w:tc>
          <w:tcPr>
            <w:tcW w:w="1421" w:type="dxa"/>
            <w:vMerge w:val="continue"/>
            <w:tcBorders>
              <w:top w:val="single" w:color="FFFFFF"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kern w:val="0"/>
                <w:sz w:val="20"/>
                <w:szCs w:val="21"/>
                <w:lang w:bidi="ar"/>
              </w:rPr>
            </w:pPr>
          </w:p>
        </w:tc>
      </w:tr>
      <w:tr>
        <w:tblPrEx>
          <w:tblLayout w:type="fixed"/>
          <w:tblCellMar>
            <w:top w:w="0" w:type="dxa"/>
            <w:left w:w="108" w:type="dxa"/>
            <w:bottom w:w="0" w:type="dxa"/>
            <w:right w:w="108" w:type="dxa"/>
          </w:tblCellMar>
        </w:tblPrEx>
        <w:trPr>
          <w:trHeight w:val="284" w:hRule="atLeast"/>
        </w:trPr>
        <w:tc>
          <w:tcPr>
            <w:tcW w:w="1420"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1"/>
              </w:rPr>
            </w:pPr>
            <w:r>
              <w:rPr>
                <w:rFonts w:ascii="Arial" w:hAnsi="Arial" w:eastAsia="宋体" w:cs="Arial"/>
                <w:kern w:val="0"/>
                <w:sz w:val="20"/>
                <w:szCs w:val="21"/>
                <w:lang w:bidi="ar"/>
              </w:rPr>
              <w:t>本科生毕业</w:t>
            </w:r>
          </w:p>
        </w:tc>
        <w:tc>
          <w:tcPr>
            <w:tcW w:w="1420"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1"/>
              </w:rPr>
            </w:pPr>
            <w:r>
              <w:rPr>
                <w:rFonts w:ascii="Arial" w:hAnsi="Arial" w:eastAsia="宋体" w:cs="Arial"/>
                <w:kern w:val="0"/>
                <w:sz w:val="20"/>
                <w:szCs w:val="21"/>
                <w:lang w:bidi="ar"/>
              </w:rPr>
              <w:t>1124</w:t>
            </w:r>
          </w:p>
        </w:tc>
        <w:tc>
          <w:tcPr>
            <w:tcW w:w="1420"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1"/>
              </w:rPr>
            </w:pPr>
            <w:r>
              <w:rPr>
                <w:rFonts w:ascii="Arial" w:hAnsi="Arial" w:eastAsia="宋体" w:cs="Arial"/>
                <w:kern w:val="0"/>
                <w:sz w:val="20"/>
                <w:szCs w:val="21"/>
                <w:lang w:bidi="ar"/>
              </w:rPr>
              <w:t>29.63%</w:t>
            </w:r>
          </w:p>
        </w:tc>
        <w:tc>
          <w:tcPr>
            <w:tcW w:w="1420"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1"/>
              </w:rPr>
            </w:pPr>
            <w:r>
              <w:rPr>
                <w:rFonts w:ascii="Arial" w:hAnsi="Arial" w:eastAsia="宋体" w:cs="Arial"/>
                <w:kern w:val="0"/>
                <w:sz w:val="20"/>
                <w:szCs w:val="21"/>
                <w:lang w:bidi="ar"/>
              </w:rPr>
              <w:t>1976</w:t>
            </w:r>
          </w:p>
        </w:tc>
        <w:tc>
          <w:tcPr>
            <w:tcW w:w="1421"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1"/>
              </w:rPr>
            </w:pPr>
            <w:r>
              <w:rPr>
                <w:rFonts w:ascii="Arial" w:hAnsi="Arial" w:eastAsia="宋体" w:cs="Arial"/>
                <w:kern w:val="0"/>
                <w:sz w:val="20"/>
                <w:szCs w:val="21"/>
                <w:lang w:bidi="ar"/>
              </w:rPr>
              <w:t>52.10%</w:t>
            </w:r>
          </w:p>
        </w:tc>
        <w:tc>
          <w:tcPr>
            <w:tcW w:w="1421"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kern w:val="0"/>
                <w:sz w:val="20"/>
                <w:szCs w:val="21"/>
                <w:lang w:bidi="ar"/>
              </w:rPr>
            </w:pPr>
            <w:r>
              <w:rPr>
                <w:rFonts w:hint="eastAsia" w:ascii="Arial" w:hAnsi="Arial" w:eastAsia="宋体" w:cs="Arial"/>
                <w:kern w:val="0"/>
                <w:sz w:val="20"/>
                <w:szCs w:val="21"/>
                <w:lang w:bidi="ar"/>
              </w:rPr>
              <w:t>0.57</w:t>
            </w:r>
            <w:r>
              <w:rPr>
                <w:rFonts w:hint="eastAsia" w:ascii="Arial" w:hAnsi="Arial" w:eastAsia="宋体" w:cs="宋体"/>
                <w:kern w:val="0"/>
                <w:sz w:val="20"/>
                <w:szCs w:val="21"/>
                <w:lang w:bidi="ar"/>
              </w:rPr>
              <w:t>﹕</w:t>
            </w:r>
            <w:r>
              <w:rPr>
                <w:rFonts w:hint="eastAsia" w:ascii="Arial" w:hAnsi="Arial" w:eastAsia="宋体" w:cs="Arial"/>
                <w:kern w:val="0"/>
                <w:sz w:val="20"/>
                <w:szCs w:val="21"/>
                <w:lang w:bidi="ar"/>
              </w:rPr>
              <w:t>1</w:t>
            </w:r>
          </w:p>
        </w:tc>
      </w:tr>
      <w:tr>
        <w:tblPrEx>
          <w:tblLayout w:type="fixed"/>
          <w:tblCellMar>
            <w:top w:w="0" w:type="dxa"/>
            <w:left w:w="108" w:type="dxa"/>
            <w:bottom w:w="0" w:type="dxa"/>
            <w:right w:w="108" w:type="dxa"/>
          </w:tblCellMar>
        </w:tblPrEx>
        <w:trPr>
          <w:trHeight w:val="284" w:hRule="atLeast"/>
        </w:trPr>
        <w:tc>
          <w:tcPr>
            <w:tcW w:w="1420"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1"/>
              </w:rPr>
            </w:pPr>
            <w:r>
              <w:rPr>
                <w:rFonts w:ascii="Arial" w:hAnsi="Arial" w:eastAsia="宋体" w:cs="Arial"/>
                <w:kern w:val="0"/>
                <w:sz w:val="20"/>
                <w:szCs w:val="21"/>
                <w:lang w:bidi="ar"/>
              </w:rPr>
              <w:t>专科生毕业</w:t>
            </w:r>
          </w:p>
        </w:tc>
        <w:tc>
          <w:tcPr>
            <w:tcW w:w="1420"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1"/>
              </w:rPr>
            </w:pPr>
            <w:r>
              <w:rPr>
                <w:rFonts w:ascii="Arial" w:hAnsi="Arial" w:eastAsia="宋体" w:cs="Arial"/>
                <w:kern w:val="0"/>
                <w:sz w:val="20"/>
                <w:szCs w:val="21"/>
                <w:lang w:bidi="ar"/>
              </w:rPr>
              <w:t>334</w:t>
            </w:r>
          </w:p>
        </w:tc>
        <w:tc>
          <w:tcPr>
            <w:tcW w:w="1420"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1"/>
              </w:rPr>
            </w:pPr>
            <w:r>
              <w:rPr>
                <w:rFonts w:ascii="Arial" w:hAnsi="Arial" w:eastAsia="宋体" w:cs="Arial"/>
                <w:kern w:val="0"/>
                <w:sz w:val="20"/>
                <w:szCs w:val="21"/>
                <w:lang w:bidi="ar"/>
              </w:rPr>
              <w:t>8.81%</w:t>
            </w:r>
          </w:p>
        </w:tc>
        <w:tc>
          <w:tcPr>
            <w:tcW w:w="1420"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1"/>
              </w:rPr>
            </w:pPr>
            <w:r>
              <w:rPr>
                <w:rFonts w:ascii="Arial" w:hAnsi="Arial" w:eastAsia="宋体" w:cs="Arial"/>
                <w:kern w:val="0"/>
                <w:sz w:val="20"/>
                <w:szCs w:val="21"/>
                <w:lang w:bidi="ar"/>
              </w:rPr>
              <w:t>359</w:t>
            </w:r>
          </w:p>
        </w:tc>
        <w:tc>
          <w:tcPr>
            <w:tcW w:w="1421"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1"/>
              </w:rPr>
            </w:pPr>
            <w:r>
              <w:rPr>
                <w:rFonts w:ascii="Arial" w:hAnsi="Arial" w:eastAsia="宋体" w:cs="Arial"/>
                <w:kern w:val="0"/>
                <w:sz w:val="20"/>
                <w:szCs w:val="21"/>
                <w:lang w:bidi="ar"/>
              </w:rPr>
              <w:t>9.46%</w:t>
            </w:r>
          </w:p>
        </w:tc>
        <w:tc>
          <w:tcPr>
            <w:tcW w:w="1421"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kern w:val="0"/>
                <w:sz w:val="20"/>
                <w:szCs w:val="21"/>
                <w:lang w:bidi="ar"/>
              </w:rPr>
            </w:pPr>
            <w:r>
              <w:rPr>
                <w:rFonts w:hint="eastAsia" w:ascii="Arial" w:hAnsi="Arial" w:eastAsia="宋体" w:cs="Arial"/>
                <w:kern w:val="0"/>
                <w:sz w:val="20"/>
                <w:szCs w:val="21"/>
                <w:lang w:bidi="ar"/>
              </w:rPr>
              <w:t>0.93</w:t>
            </w:r>
            <w:r>
              <w:rPr>
                <w:rFonts w:hint="eastAsia" w:ascii="Arial" w:hAnsi="Arial" w:eastAsia="宋体" w:cs="宋体"/>
                <w:kern w:val="0"/>
                <w:sz w:val="20"/>
                <w:szCs w:val="21"/>
                <w:lang w:bidi="ar"/>
              </w:rPr>
              <w:t>﹕</w:t>
            </w:r>
            <w:r>
              <w:rPr>
                <w:rFonts w:hint="eastAsia" w:ascii="Arial" w:hAnsi="Arial" w:eastAsia="宋体" w:cs="Arial"/>
                <w:kern w:val="0"/>
                <w:sz w:val="20"/>
                <w:szCs w:val="21"/>
                <w:lang w:bidi="ar"/>
              </w:rPr>
              <w:t>1</w:t>
            </w:r>
          </w:p>
        </w:tc>
      </w:tr>
      <w:tr>
        <w:tblPrEx>
          <w:tblLayout w:type="fixed"/>
          <w:tblCellMar>
            <w:top w:w="0" w:type="dxa"/>
            <w:left w:w="108" w:type="dxa"/>
            <w:bottom w:w="0" w:type="dxa"/>
            <w:right w:w="108" w:type="dxa"/>
          </w:tblCellMar>
        </w:tblPrEx>
        <w:trPr>
          <w:trHeight w:val="284" w:hRule="atLeast"/>
        </w:trPr>
        <w:tc>
          <w:tcPr>
            <w:tcW w:w="1420"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b/>
                <w:sz w:val="20"/>
                <w:szCs w:val="21"/>
              </w:rPr>
            </w:pPr>
            <w:r>
              <w:rPr>
                <w:rFonts w:ascii="Arial" w:hAnsi="Arial" w:eastAsia="宋体" w:cs="Arial"/>
                <w:b/>
                <w:kern w:val="0"/>
                <w:sz w:val="20"/>
                <w:szCs w:val="21"/>
                <w:lang w:bidi="ar"/>
              </w:rPr>
              <w:t>总计</w:t>
            </w:r>
          </w:p>
        </w:tc>
        <w:tc>
          <w:tcPr>
            <w:tcW w:w="1420"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b/>
                <w:sz w:val="20"/>
                <w:szCs w:val="21"/>
              </w:rPr>
            </w:pPr>
            <w:r>
              <w:rPr>
                <w:rFonts w:ascii="Arial" w:hAnsi="Arial" w:eastAsia="宋体" w:cs="Arial"/>
                <w:b/>
                <w:kern w:val="0"/>
                <w:sz w:val="20"/>
                <w:szCs w:val="21"/>
                <w:lang w:bidi="ar"/>
              </w:rPr>
              <w:t>1458</w:t>
            </w:r>
          </w:p>
        </w:tc>
        <w:tc>
          <w:tcPr>
            <w:tcW w:w="1420"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b/>
                <w:sz w:val="20"/>
                <w:szCs w:val="21"/>
              </w:rPr>
            </w:pPr>
            <w:r>
              <w:rPr>
                <w:rFonts w:ascii="Arial" w:hAnsi="Arial" w:eastAsia="宋体" w:cs="Arial"/>
                <w:b/>
                <w:kern w:val="0"/>
                <w:sz w:val="20"/>
                <w:szCs w:val="21"/>
                <w:lang w:bidi="ar"/>
              </w:rPr>
              <w:t>38.44%</w:t>
            </w:r>
          </w:p>
        </w:tc>
        <w:tc>
          <w:tcPr>
            <w:tcW w:w="1420"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b/>
                <w:sz w:val="20"/>
                <w:szCs w:val="21"/>
              </w:rPr>
            </w:pPr>
            <w:r>
              <w:rPr>
                <w:rFonts w:ascii="Arial" w:hAnsi="Arial" w:eastAsia="宋体" w:cs="Arial"/>
                <w:b/>
                <w:kern w:val="0"/>
                <w:sz w:val="20"/>
                <w:szCs w:val="21"/>
                <w:lang w:bidi="ar"/>
              </w:rPr>
              <w:t>2335</w:t>
            </w:r>
          </w:p>
        </w:tc>
        <w:tc>
          <w:tcPr>
            <w:tcW w:w="1421"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b/>
                <w:sz w:val="20"/>
                <w:szCs w:val="21"/>
              </w:rPr>
            </w:pPr>
            <w:r>
              <w:rPr>
                <w:rFonts w:ascii="Arial" w:hAnsi="Arial" w:eastAsia="宋体" w:cs="Arial"/>
                <w:b/>
                <w:kern w:val="0"/>
                <w:sz w:val="20"/>
                <w:szCs w:val="21"/>
                <w:lang w:bidi="ar"/>
              </w:rPr>
              <w:t>61.56%</w:t>
            </w:r>
          </w:p>
        </w:tc>
        <w:tc>
          <w:tcPr>
            <w:tcW w:w="1421"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b/>
                <w:kern w:val="0"/>
                <w:sz w:val="20"/>
                <w:szCs w:val="21"/>
                <w:lang w:bidi="ar"/>
              </w:rPr>
            </w:pPr>
            <w:r>
              <w:rPr>
                <w:rFonts w:hint="eastAsia" w:ascii="Arial" w:hAnsi="Arial" w:eastAsia="宋体" w:cs="Arial"/>
                <w:b/>
                <w:kern w:val="0"/>
                <w:sz w:val="20"/>
                <w:szCs w:val="21"/>
                <w:lang w:bidi="ar"/>
              </w:rPr>
              <w:t>0.62</w:t>
            </w:r>
            <w:r>
              <w:rPr>
                <w:rFonts w:hint="eastAsia" w:ascii="Arial" w:hAnsi="Arial" w:eastAsia="宋体" w:cs="宋体"/>
                <w:b/>
                <w:kern w:val="0"/>
                <w:sz w:val="20"/>
                <w:szCs w:val="21"/>
                <w:lang w:bidi="ar"/>
              </w:rPr>
              <w:t>﹕</w:t>
            </w:r>
            <w:r>
              <w:rPr>
                <w:rFonts w:hint="eastAsia" w:ascii="Arial" w:hAnsi="Arial" w:eastAsia="宋体" w:cs="Arial"/>
                <w:b/>
                <w:kern w:val="0"/>
                <w:sz w:val="20"/>
                <w:szCs w:val="21"/>
                <w:lang w:bidi="ar"/>
              </w:rPr>
              <w:t>1</w:t>
            </w:r>
          </w:p>
        </w:tc>
      </w:tr>
    </w:tbl>
    <w:p>
      <w:pPr>
        <w:pStyle w:val="33"/>
        <w:spacing w:before="180" w:after="180" w:afterLines="0" w:line="360" w:lineRule="auto"/>
        <w:ind w:firstLine="482" w:firstLineChars="200"/>
        <w:outlineLvl w:val="2"/>
        <w:rPr>
          <w:rFonts w:ascii="Times New Roman" w:hAnsi="Times New Roman" w:eastAsia="宋体"/>
          <w:sz w:val="24"/>
          <w:szCs w:val="24"/>
        </w:rPr>
      </w:pPr>
      <w:bookmarkStart w:id="20" w:name="_Toc429218577"/>
      <w:bookmarkStart w:id="21" w:name="_Toc430099478"/>
      <w:bookmarkStart w:id="22" w:name="_Toc501407775"/>
      <w:r>
        <w:rPr>
          <w:rFonts w:hint="eastAsia" w:ascii="Times New Roman" w:hAnsi="Times New Roman" w:eastAsia="宋体"/>
          <w:sz w:val="24"/>
          <w:szCs w:val="24"/>
        </w:rPr>
        <w:t>2</w:t>
      </w:r>
      <w:bookmarkEnd w:id="20"/>
      <w:bookmarkEnd w:id="21"/>
      <w:bookmarkStart w:id="23" w:name="_Toc430099479"/>
      <w:bookmarkStart w:id="24" w:name="_Toc425351639"/>
      <w:bookmarkStart w:id="25" w:name="_Toc425351776"/>
      <w:bookmarkStart w:id="26" w:name="_Toc429218578"/>
      <w:r>
        <w:rPr>
          <w:rFonts w:hint="eastAsia" w:ascii="Times New Roman" w:hAnsi="Times New Roman" w:eastAsia="宋体"/>
          <w:sz w:val="24"/>
          <w:szCs w:val="24"/>
        </w:rPr>
        <w:t>．2017届毕业生学院和专业分布情况</w:t>
      </w:r>
      <w:bookmarkEnd w:id="22"/>
    </w:p>
    <w:p>
      <w:pPr>
        <w:pStyle w:val="33"/>
        <w:tabs>
          <w:tab w:val="left" w:pos="312"/>
        </w:tabs>
        <w:spacing w:before="100" w:after="100" w:afterLines="0" w:line="360" w:lineRule="auto"/>
        <w:ind w:left="482" w:firstLine="0" w:firstLineChars="0"/>
        <w:outlineLvl w:val="2"/>
        <w:rPr>
          <w:rFonts w:ascii="Times New Roman" w:hAnsi="Times New Roman" w:eastAsia="宋体"/>
          <w:b w:val="0"/>
          <w:bCs w:val="0"/>
          <w:sz w:val="24"/>
          <w:szCs w:val="24"/>
        </w:rPr>
      </w:pPr>
      <w:bookmarkStart w:id="27" w:name="_Toc22954"/>
      <w:bookmarkStart w:id="28" w:name="_Toc501407168"/>
      <w:bookmarkStart w:id="29" w:name="_Toc29078"/>
      <w:bookmarkStart w:id="30" w:name="_Toc501407776"/>
      <w:r>
        <w:rPr>
          <w:rFonts w:hint="eastAsia" w:ascii="Times New Roman" w:hAnsi="Times New Roman" w:eastAsia="宋体"/>
          <w:b w:val="0"/>
          <w:bCs w:val="0"/>
          <w:sz w:val="24"/>
          <w:szCs w:val="24"/>
        </w:rPr>
        <w:t>2.1</w:t>
      </w:r>
      <w:bookmarkEnd w:id="23"/>
      <w:bookmarkEnd w:id="24"/>
      <w:bookmarkEnd w:id="25"/>
      <w:bookmarkEnd w:id="26"/>
      <w:r>
        <w:rPr>
          <w:rFonts w:hint="eastAsia" w:ascii="Times New Roman" w:hAnsi="Times New Roman" w:eastAsia="宋体"/>
          <w:b w:val="0"/>
          <w:bCs w:val="0"/>
          <w:sz w:val="24"/>
          <w:szCs w:val="24"/>
        </w:rPr>
        <w:t xml:space="preserve">  2017届本科毕业生学院分布情况</w:t>
      </w:r>
      <w:bookmarkEnd w:id="27"/>
      <w:bookmarkEnd w:id="28"/>
      <w:bookmarkEnd w:id="29"/>
      <w:bookmarkEnd w:id="30"/>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学校2017届</w:t>
      </w:r>
      <w:r>
        <w:rPr>
          <w:rFonts w:ascii="Times New Roman" w:hAnsi="Times New Roman" w:eastAsia="宋体" w:cs="Times New Roman"/>
          <w:sz w:val="24"/>
          <w:szCs w:val="24"/>
        </w:rPr>
        <w:t>本科毕业生</w:t>
      </w:r>
      <w:r>
        <w:rPr>
          <w:rFonts w:hint="eastAsia" w:ascii="Times New Roman" w:hAnsi="Times New Roman" w:eastAsia="宋体" w:cs="Times New Roman"/>
          <w:sz w:val="24"/>
          <w:szCs w:val="24"/>
        </w:rPr>
        <w:t>分布在9个学院</w:t>
      </w:r>
      <w:r>
        <w:rPr>
          <w:rFonts w:ascii="Times New Roman" w:hAnsi="Times New Roman" w:eastAsia="宋体" w:cs="Times New Roman"/>
          <w:sz w:val="24"/>
          <w:szCs w:val="24"/>
        </w:rPr>
        <w:t>，各学院毕业生人数如下表所示。其中</w:t>
      </w:r>
      <w:r>
        <w:rPr>
          <w:rFonts w:hint="eastAsia" w:ascii="Times New Roman" w:hAnsi="Times New Roman" w:eastAsia="宋体" w:cs="Times New Roman"/>
          <w:sz w:val="24"/>
          <w:szCs w:val="24"/>
        </w:rPr>
        <w:t>毕业生</w:t>
      </w:r>
      <w:r>
        <w:rPr>
          <w:rFonts w:ascii="Times New Roman" w:hAnsi="Times New Roman" w:eastAsia="宋体" w:cs="Times New Roman"/>
          <w:sz w:val="24"/>
          <w:szCs w:val="24"/>
        </w:rPr>
        <w:t>人数占比排名前三位的学院分别是：影视艺术学院</w:t>
      </w:r>
      <w:r>
        <w:rPr>
          <w:rFonts w:hint="eastAsia" w:ascii="Times New Roman" w:hAnsi="Times New Roman" w:eastAsia="宋体" w:cs="Times New Roman"/>
          <w:sz w:val="24"/>
          <w:szCs w:val="24"/>
        </w:rPr>
        <w:t>，</w:t>
      </w:r>
      <w:r>
        <w:rPr>
          <w:rFonts w:ascii="Times New Roman" w:hAnsi="Times New Roman" w:eastAsia="宋体" w:cs="Times New Roman"/>
          <w:sz w:val="24"/>
          <w:szCs w:val="24"/>
        </w:rPr>
        <w:t>占本科毕业生总人数的</w:t>
      </w:r>
      <w:r>
        <w:rPr>
          <w:rFonts w:hint="eastAsia" w:ascii="Times New Roman" w:hAnsi="Times New Roman" w:eastAsia="宋体" w:cs="Times New Roman"/>
          <w:sz w:val="24"/>
          <w:szCs w:val="24"/>
        </w:rPr>
        <w:t>43.39</w:t>
      </w:r>
      <w:r>
        <w:rPr>
          <w:rFonts w:ascii="Times New Roman" w:hAnsi="Times New Roman" w:eastAsia="宋体" w:cs="Times New Roman"/>
          <w:sz w:val="24"/>
          <w:szCs w:val="24"/>
        </w:rPr>
        <w:t>%</w:t>
      </w:r>
      <w:r>
        <w:rPr>
          <w:rFonts w:hint="eastAsia" w:ascii="Times New Roman" w:hAnsi="Times New Roman" w:eastAsia="宋体" w:cs="Times New Roman"/>
          <w:sz w:val="24"/>
          <w:szCs w:val="24"/>
        </w:rPr>
        <w:t>；</w:t>
      </w:r>
      <w:r>
        <w:rPr>
          <w:rFonts w:ascii="Times New Roman" w:hAnsi="Times New Roman" w:eastAsia="宋体" w:cs="Times New Roman"/>
          <w:sz w:val="24"/>
          <w:szCs w:val="24"/>
        </w:rPr>
        <w:t>新闻传播学院</w:t>
      </w:r>
      <w:r>
        <w:rPr>
          <w:rFonts w:hint="eastAsia" w:ascii="Times New Roman" w:hAnsi="Times New Roman" w:eastAsia="宋体" w:cs="Times New Roman"/>
          <w:sz w:val="24"/>
          <w:szCs w:val="24"/>
        </w:rPr>
        <w:t>，</w:t>
      </w:r>
      <w:r>
        <w:rPr>
          <w:rFonts w:ascii="Times New Roman" w:hAnsi="Times New Roman" w:eastAsia="宋体" w:cs="Times New Roman"/>
          <w:sz w:val="24"/>
          <w:szCs w:val="24"/>
        </w:rPr>
        <w:t>占本科毕业生总人数的</w:t>
      </w:r>
      <w:r>
        <w:rPr>
          <w:rFonts w:hint="eastAsia" w:ascii="Times New Roman" w:hAnsi="Times New Roman" w:eastAsia="宋体" w:cs="Times New Roman"/>
          <w:sz w:val="24"/>
          <w:szCs w:val="24"/>
        </w:rPr>
        <w:t>27.00</w:t>
      </w:r>
      <w:r>
        <w:rPr>
          <w:rFonts w:ascii="Times New Roman" w:hAnsi="Times New Roman" w:eastAsia="宋体" w:cs="Times New Roman"/>
          <w:sz w:val="24"/>
          <w:szCs w:val="24"/>
        </w:rPr>
        <w:t>%；表演艺术学院</w:t>
      </w:r>
      <w:r>
        <w:rPr>
          <w:rFonts w:hint="eastAsia" w:ascii="Times New Roman" w:hAnsi="Times New Roman" w:eastAsia="宋体" w:cs="Times New Roman"/>
          <w:sz w:val="24"/>
          <w:szCs w:val="24"/>
        </w:rPr>
        <w:t>，</w:t>
      </w:r>
      <w:r>
        <w:rPr>
          <w:rFonts w:ascii="Times New Roman" w:hAnsi="Times New Roman" w:eastAsia="宋体" w:cs="Times New Roman"/>
          <w:sz w:val="24"/>
          <w:szCs w:val="24"/>
        </w:rPr>
        <w:t>占本科毕业生总人数的</w:t>
      </w:r>
      <w:r>
        <w:rPr>
          <w:rFonts w:hint="eastAsia" w:ascii="Times New Roman" w:hAnsi="Times New Roman" w:eastAsia="宋体" w:cs="Times New Roman"/>
          <w:sz w:val="24"/>
          <w:szCs w:val="24"/>
        </w:rPr>
        <w:t>8.42</w:t>
      </w:r>
      <w:r>
        <w:rPr>
          <w:rFonts w:ascii="Times New Roman" w:hAnsi="Times New Roman" w:eastAsia="宋体" w:cs="Times New Roman"/>
          <w:sz w:val="24"/>
          <w:szCs w:val="24"/>
        </w:rPr>
        <w:t>%。</w:t>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表1-2 2017届本科毕业生的学院分布</w:t>
      </w:r>
    </w:p>
    <w:tbl>
      <w:tblPr>
        <w:tblStyle w:val="26"/>
        <w:tblW w:w="7055" w:type="dxa"/>
        <w:jc w:val="center"/>
        <w:tblInd w:w="0" w:type="dxa"/>
        <w:tblLayout w:type="fixed"/>
        <w:tblCellMar>
          <w:top w:w="0" w:type="dxa"/>
          <w:left w:w="108" w:type="dxa"/>
          <w:bottom w:w="0" w:type="dxa"/>
          <w:right w:w="108" w:type="dxa"/>
        </w:tblCellMar>
      </w:tblPr>
      <w:tblGrid>
        <w:gridCol w:w="817"/>
        <w:gridCol w:w="3402"/>
        <w:gridCol w:w="1418"/>
        <w:gridCol w:w="1418"/>
      </w:tblGrid>
      <w:tr>
        <w:tblPrEx>
          <w:tblLayout w:type="fixed"/>
          <w:tblCellMar>
            <w:top w:w="0" w:type="dxa"/>
            <w:left w:w="108" w:type="dxa"/>
            <w:bottom w:w="0" w:type="dxa"/>
            <w:right w:w="108" w:type="dxa"/>
          </w:tblCellMar>
        </w:tblPrEx>
        <w:trPr>
          <w:trHeight w:val="454" w:hRule="atLeast"/>
          <w:jc w:val="center"/>
        </w:trPr>
        <w:tc>
          <w:tcPr>
            <w:tcW w:w="817" w:type="dxa"/>
            <w:tcBorders>
              <w:top w:val="single" w:color="4BACC6" w:sz="8" w:space="0"/>
              <w:left w:val="single" w:color="4BACC6" w:sz="8" w:space="0"/>
              <w:bottom w:val="single" w:color="FFFFFF" w:sz="8" w:space="0"/>
              <w:right w:val="single" w:color="4BACC6" w:sz="8" w:space="0"/>
            </w:tcBorders>
            <w:shd w:val="clear" w:color="auto" w:fill="4BACC6"/>
            <w:vAlign w:val="center"/>
          </w:tcPr>
          <w:p>
            <w:pPr>
              <w:widowControl/>
              <w:jc w:val="center"/>
              <w:textAlignment w:val="bottom"/>
              <w:rPr>
                <w:rFonts w:ascii="Arial" w:hAnsi="Arial" w:eastAsia="宋体" w:cs="Arial"/>
                <w:b/>
                <w:sz w:val="20"/>
                <w:szCs w:val="24"/>
              </w:rPr>
            </w:pPr>
            <w:r>
              <w:rPr>
                <w:rFonts w:hint="eastAsia" w:ascii="Arial" w:hAnsi="Arial" w:eastAsia="宋体" w:cs="Arial"/>
                <w:b/>
                <w:sz w:val="20"/>
                <w:szCs w:val="24"/>
              </w:rPr>
              <w:t>序号</w:t>
            </w:r>
          </w:p>
        </w:tc>
        <w:tc>
          <w:tcPr>
            <w:tcW w:w="3402" w:type="dxa"/>
            <w:tcBorders>
              <w:top w:val="single" w:color="4BACC6" w:sz="8" w:space="0"/>
              <w:left w:val="single" w:color="4BACC6" w:sz="8" w:space="0"/>
              <w:bottom w:val="single" w:color="FFFFFF" w:sz="8" w:space="0"/>
              <w:right w:val="single" w:color="4BACC6" w:sz="8" w:space="0"/>
            </w:tcBorders>
            <w:shd w:val="clear" w:color="auto" w:fill="4BACC6"/>
            <w:vAlign w:val="center"/>
          </w:tcPr>
          <w:p>
            <w:pPr>
              <w:widowControl/>
              <w:jc w:val="center"/>
              <w:textAlignment w:val="bottom"/>
              <w:rPr>
                <w:rFonts w:ascii="Arial" w:hAnsi="Arial" w:eastAsia="宋体" w:cs="Arial"/>
                <w:b/>
                <w:sz w:val="20"/>
                <w:szCs w:val="24"/>
              </w:rPr>
            </w:pPr>
            <w:r>
              <w:rPr>
                <w:rFonts w:ascii="Arial" w:hAnsi="Arial" w:eastAsia="宋体" w:cs="Arial"/>
                <w:b/>
                <w:kern w:val="0"/>
                <w:sz w:val="20"/>
                <w:szCs w:val="24"/>
                <w:lang w:bidi="ar"/>
              </w:rPr>
              <w:t>所在院系</w:t>
            </w:r>
          </w:p>
        </w:tc>
        <w:tc>
          <w:tcPr>
            <w:tcW w:w="1418" w:type="dxa"/>
            <w:tcBorders>
              <w:top w:val="single" w:color="4BACC6" w:sz="8" w:space="0"/>
              <w:left w:val="single" w:color="4BACC6" w:sz="8" w:space="0"/>
              <w:bottom w:val="single" w:color="FFFFFF" w:sz="8" w:space="0"/>
              <w:right w:val="single" w:color="4BACC6" w:sz="8" w:space="0"/>
            </w:tcBorders>
            <w:shd w:val="clear" w:color="auto" w:fill="4BACC6"/>
            <w:vAlign w:val="center"/>
          </w:tcPr>
          <w:p>
            <w:pPr>
              <w:widowControl/>
              <w:jc w:val="center"/>
              <w:textAlignment w:val="bottom"/>
              <w:rPr>
                <w:rFonts w:ascii="Arial" w:hAnsi="Arial" w:eastAsia="宋体" w:cs="Arial"/>
                <w:b/>
                <w:sz w:val="20"/>
                <w:szCs w:val="24"/>
              </w:rPr>
            </w:pPr>
            <w:r>
              <w:rPr>
                <w:rFonts w:hint="eastAsia" w:ascii="Arial" w:hAnsi="Arial" w:eastAsia="宋体" w:cs="Arial"/>
                <w:b/>
                <w:sz w:val="20"/>
                <w:szCs w:val="24"/>
              </w:rPr>
              <w:t>人数</w:t>
            </w:r>
          </w:p>
        </w:tc>
        <w:tc>
          <w:tcPr>
            <w:tcW w:w="1418" w:type="dxa"/>
            <w:tcBorders>
              <w:top w:val="single" w:color="4BACC6" w:sz="8" w:space="0"/>
              <w:left w:val="single" w:color="4BACC6" w:sz="8" w:space="0"/>
              <w:bottom w:val="single" w:color="FFFFFF" w:sz="8" w:space="0"/>
              <w:right w:val="single" w:color="4BACC6" w:sz="8" w:space="0"/>
            </w:tcBorders>
            <w:shd w:val="clear" w:color="auto" w:fill="4BACC6"/>
            <w:vAlign w:val="center"/>
          </w:tcPr>
          <w:p>
            <w:pPr>
              <w:widowControl/>
              <w:jc w:val="center"/>
              <w:textAlignment w:val="bottom"/>
              <w:rPr>
                <w:rFonts w:ascii="Arial" w:hAnsi="Arial" w:eastAsia="宋体" w:cs="Arial"/>
                <w:b/>
                <w:kern w:val="0"/>
                <w:sz w:val="20"/>
                <w:szCs w:val="24"/>
                <w:lang w:bidi="ar"/>
              </w:rPr>
            </w:pPr>
            <w:r>
              <w:rPr>
                <w:rFonts w:hint="eastAsia" w:ascii="Arial" w:hAnsi="Arial" w:eastAsia="宋体" w:cs="Arial"/>
                <w:b/>
                <w:kern w:val="0"/>
                <w:sz w:val="20"/>
                <w:szCs w:val="24"/>
                <w:lang w:bidi="ar"/>
              </w:rPr>
              <w:t>比例</w:t>
            </w:r>
          </w:p>
        </w:tc>
      </w:tr>
      <w:tr>
        <w:tblPrEx>
          <w:tblLayout w:type="fixed"/>
          <w:tblCellMar>
            <w:top w:w="0" w:type="dxa"/>
            <w:left w:w="108" w:type="dxa"/>
            <w:bottom w:w="0" w:type="dxa"/>
            <w:right w:w="108" w:type="dxa"/>
          </w:tblCellMar>
        </w:tblPrEx>
        <w:trPr>
          <w:trHeight w:val="284" w:hRule="atLeast"/>
          <w:jc w:val="center"/>
        </w:trPr>
        <w:tc>
          <w:tcPr>
            <w:tcW w:w="817" w:type="dxa"/>
            <w:tcBorders>
              <w:top w:val="single" w:color="FFFFFF"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4"/>
              </w:rPr>
            </w:pPr>
            <w:r>
              <w:rPr>
                <w:rFonts w:hint="eastAsia" w:ascii="Arial" w:hAnsi="Arial" w:eastAsia="宋体" w:cs="Arial"/>
                <w:sz w:val="20"/>
                <w:szCs w:val="24"/>
              </w:rPr>
              <w:t>1</w:t>
            </w:r>
          </w:p>
        </w:tc>
        <w:tc>
          <w:tcPr>
            <w:tcW w:w="3402" w:type="dxa"/>
            <w:tcBorders>
              <w:top w:val="single" w:color="FFFFFF"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4"/>
              </w:rPr>
            </w:pPr>
            <w:r>
              <w:rPr>
                <w:rFonts w:ascii="Arial" w:hAnsi="Arial" w:eastAsia="宋体" w:cs="Arial"/>
                <w:kern w:val="0"/>
                <w:sz w:val="20"/>
                <w:szCs w:val="24"/>
                <w:lang w:bidi="ar"/>
              </w:rPr>
              <w:t>表演艺术学院</w:t>
            </w:r>
          </w:p>
        </w:tc>
        <w:tc>
          <w:tcPr>
            <w:tcW w:w="1418" w:type="dxa"/>
            <w:tcBorders>
              <w:top w:val="single" w:color="FFFFFF"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4"/>
              </w:rPr>
            </w:pPr>
            <w:r>
              <w:rPr>
                <w:rFonts w:ascii="Arial" w:hAnsi="Arial" w:eastAsia="宋体" w:cs="Arial"/>
                <w:kern w:val="0"/>
                <w:sz w:val="20"/>
                <w:szCs w:val="24"/>
                <w:lang w:bidi="ar"/>
              </w:rPr>
              <w:t>261</w:t>
            </w:r>
          </w:p>
        </w:tc>
        <w:tc>
          <w:tcPr>
            <w:tcW w:w="1418" w:type="dxa"/>
            <w:tcBorders>
              <w:top w:val="single" w:color="FFFFFF"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kern w:val="0"/>
                <w:sz w:val="20"/>
                <w:szCs w:val="24"/>
                <w:lang w:bidi="ar"/>
              </w:rPr>
            </w:pPr>
            <w:r>
              <w:rPr>
                <w:rFonts w:ascii="Arial" w:hAnsi="Arial" w:eastAsia="宋体" w:cs="Arial"/>
                <w:kern w:val="0"/>
                <w:sz w:val="20"/>
                <w:szCs w:val="24"/>
                <w:lang w:bidi="ar"/>
              </w:rPr>
              <w:t>8.42%</w:t>
            </w:r>
          </w:p>
        </w:tc>
      </w:tr>
      <w:tr>
        <w:tblPrEx>
          <w:tblLayout w:type="fixed"/>
          <w:tblCellMar>
            <w:top w:w="0" w:type="dxa"/>
            <w:left w:w="108" w:type="dxa"/>
            <w:bottom w:w="0" w:type="dxa"/>
            <w:right w:w="108" w:type="dxa"/>
          </w:tblCellMar>
        </w:tblPrEx>
        <w:trPr>
          <w:trHeight w:val="284" w:hRule="atLeast"/>
          <w:jc w:val="center"/>
        </w:trPr>
        <w:tc>
          <w:tcPr>
            <w:tcW w:w="817"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4"/>
              </w:rPr>
            </w:pPr>
            <w:r>
              <w:rPr>
                <w:rFonts w:hint="eastAsia" w:ascii="Arial" w:hAnsi="Arial" w:eastAsia="宋体" w:cs="Arial"/>
                <w:sz w:val="20"/>
                <w:szCs w:val="24"/>
              </w:rPr>
              <w:t>2</w:t>
            </w:r>
          </w:p>
        </w:tc>
        <w:tc>
          <w:tcPr>
            <w:tcW w:w="340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4"/>
              </w:rPr>
            </w:pPr>
            <w:r>
              <w:rPr>
                <w:rFonts w:ascii="Arial" w:hAnsi="Arial" w:eastAsia="宋体" w:cs="Arial"/>
                <w:kern w:val="0"/>
                <w:sz w:val="20"/>
                <w:szCs w:val="24"/>
                <w:lang w:bidi="ar"/>
              </w:rPr>
              <w:t>动画学院</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4"/>
              </w:rPr>
            </w:pPr>
            <w:r>
              <w:rPr>
                <w:rFonts w:ascii="Arial" w:hAnsi="Arial" w:eastAsia="宋体" w:cs="Arial"/>
                <w:kern w:val="0"/>
                <w:sz w:val="20"/>
                <w:szCs w:val="24"/>
                <w:lang w:bidi="ar"/>
              </w:rPr>
              <w:t>14</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kern w:val="0"/>
                <w:sz w:val="20"/>
                <w:szCs w:val="24"/>
                <w:lang w:bidi="ar"/>
              </w:rPr>
            </w:pPr>
            <w:r>
              <w:rPr>
                <w:rFonts w:ascii="Arial" w:hAnsi="Arial" w:eastAsia="宋体" w:cs="Arial"/>
                <w:kern w:val="0"/>
                <w:sz w:val="20"/>
                <w:szCs w:val="24"/>
                <w:lang w:bidi="ar"/>
              </w:rPr>
              <w:t>0.45%</w:t>
            </w:r>
          </w:p>
        </w:tc>
      </w:tr>
      <w:tr>
        <w:tblPrEx>
          <w:tblLayout w:type="fixed"/>
          <w:tblCellMar>
            <w:top w:w="0" w:type="dxa"/>
            <w:left w:w="108" w:type="dxa"/>
            <w:bottom w:w="0" w:type="dxa"/>
            <w:right w:w="108" w:type="dxa"/>
          </w:tblCellMar>
        </w:tblPrEx>
        <w:trPr>
          <w:trHeight w:val="284" w:hRule="atLeast"/>
          <w:jc w:val="center"/>
        </w:trPr>
        <w:tc>
          <w:tcPr>
            <w:tcW w:w="817"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4"/>
              </w:rPr>
            </w:pPr>
            <w:r>
              <w:rPr>
                <w:rFonts w:hint="eastAsia" w:ascii="Arial" w:hAnsi="Arial" w:eastAsia="宋体" w:cs="Arial"/>
                <w:sz w:val="20"/>
                <w:szCs w:val="24"/>
              </w:rPr>
              <w:t>3</w:t>
            </w:r>
          </w:p>
        </w:tc>
        <w:tc>
          <w:tcPr>
            <w:tcW w:w="340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4"/>
              </w:rPr>
            </w:pPr>
            <w:r>
              <w:rPr>
                <w:rFonts w:ascii="Arial" w:hAnsi="Arial" w:eastAsia="宋体" w:cs="Arial"/>
                <w:kern w:val="0"/>
                <w:sz w:val="20"/>
                <w:szCs w:val="24"/>
                <w:lang w:bidi="ar"/>
              </w:rPr>
              <w:t>国际传播学院</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4"/>
              </w:rPr>
            </w:pPr>
            <w:r>
              <w:rPr>
                <w:rFonts w:ascii="Arial" w:hAnsi="Arial" w:eastAsia="宋体" w:cs="Arial"/>
                <w:kern w:val="0"/>
                <w:sz w:val="20"/>
                <w:szCs w:val="24"/>
                <w:lang w:bidi="ar"/>
              </w:rPr>
              <w:t>126</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kern w:val="0"/>
                <w:sz w:val="20"/>
                <w:szCs w:val="24"/>
                <w:lang w:bidi="ar"/>
              </w:rPr>
            </w:pPr>
            <w:r>
              <w:rPr>
                <w:rFonts w:ascii="Arial" w:hAnsi="Arial" w:eastAsia="宋体" w:cs="Arial"/>
                <w:kern w:val="0"/>
                <w:sz w:val="20"/>
                <w:szCs w:val="24"/>
                <w:lang w:bidi="ar"/>
              </w:rPr>
              <w:t>4.06%</w:t>
            </w:r>
          </w:p>
        </w:tc>
      </w:tr>
      <w:tr>
        <w:tblPrEx>
          <w:tblLayout w:type="fixed"/>
          <w:tblCellMar>
            <w:top w:w="0" w:type="dxa"/>
            <w:left w:w="108" w:type="dxa"/>
            <w:bottom w:w="0" w:type="dxa"/>
            <w:right w:w="108" w:type="dxa"/>
          </w:tblCellMar>
        </w:tblPrEx>
        <w:trPr>
          <w:trHeight w:val="284" w:hRule="atLeast"/>
          <w:jc w:val="center"/>
        </w:trPr>
        <w:tc>
          <w:tcPr>
            <w:tcW w:w="817"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4"/>
              </w:rPr>
            </w:pPr>
            <w:r>
              <w:rPr>
                <w:rFonts w:hint="eastAsia" w:ascii="Arial" w:hAnsi="Arial" w:eastAsia="宋体" w:cs="Arial"/>
                <w:sz w:val="20"/>
                <w:szCs w:val="24"/>
              </w:rPr>
              <w:t>4</w:t>
            </w:r>
          </w:p>
        </w:tc>
        <w:tc>
          <w:tcPr>
            <w:tcW w:w="340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4"/>
              </w:rPr>
            </w:pPr>
            <w:r>
              <w:rPr>
                <w:rFonts w:ascii="Arial" w:hAnsi="Arial" w:eastAsia="宋体" w:cs="Arial"/>
                <w:kern w:val="0"/>
                <w:sz w:val="20"/>
                <w:szCs w:val="24"/>
                <w:lang w:bidi="ar"/>
              </w:rPr>
              <w:t>舞蹈艺术学院</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4"/>
              </w:rPr>
            </w:pPr>
            <w:r>
              <w:rPr>
                <w:rFonts w:ascii="Arial" w:hAnsi="Arial" w:eastAsia="宋体" w:cs="Arial"/>
                <w:kern w:val="0"/>
                <w:sz w:val="20"/>
                <w:szCs w:val="24"/>
                <w:lang w:bidi="ar"/>
              </w:rPr>
              <w:t>32</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kern w:val="0"/>
                <w:sz w:val="20"/>
                <w:szCs w:val="24"/>
                <w:lang w:bidi="ar"/>
              </w:rPr>
            </w:pPr>
            <w:r>
              <w:rPr>
                <w:rFonts w:ascii="Arial" w:hAnsi="Arial" w:eastAsia="宋体" w:cs="Arial"/>
                <w:kern w:val="0"/>
                <w:sz w:val="20"/>
                <w:szCs w:val="24"/>
                <w:lang w:bidi="ar"/>
              </w:rPr>
              <w:t>1.03%</w:t>
            </w:r>
          </w:p>
        </w:tc>
      </w:tr>
      <w:tr>
        <w:tblPrEx>
          <w:tblLayout w:type="fixed"/>
          <w:tblCellMar>
            <w:top w:w="0" w:type="dxa"/>
            <w:left w:w="108" w:type="dxa"/>
            <w:bottom w:w="0" w:type="dxa"/>
            <w:right w:w="108" w:type="dxa"/>
          </w:tblCellMar>
        </w:tblPrEx>
        <w:trPr>
          <w:trHeight w:val="284" w:hRule="atLeast"/>
          <w:jc w:val="center"/>
        </w:trPr>
        <w:tc>
          <w:tcPr>
            <w:tcW w:w="817"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4"/>
              </w:rPr>
            </w:pPr>
            <w:r>
              <w:rPr>
                <w:rFonts w:hint="eastAsia" w:ascii="Arial" w:hAnsi="Arial" w:eastAsia="宋体" w:cs="Arial"/>
                <w:sz w:val="20"/>
                <w:szCs w:val="24"/>
              </w:rPr>
              <w:t>5</w:t>
            </w:r>
          </w:p>
        </w:tc>
        <w:tc>
          <w:tcPr>
            <w:tcW w:w="340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4"/>
              </w:rPr>
            </w:pPr>
            <w:r>
              <w:rPr>
                <w:rFonts w:ascii="Arial" w:hAnsi="Arial" w:eastAsia="宋体" w:cs="Arial"/>
                <w:kern w:val="0"/>
                <w:sz w:val="20"/>
                <w:szCs w:val="24"/>
                <w:lang w:bidi="ar"/>
              </w:rPr>
              <w:t>新闻传播学院</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4"/>
              </w:rPr>
            </w:pPr>
            <w:r>
              <w:rPr>
                <w:rFonts w:ascii="Arial" w:hAnsi="Arial" w:eastAsia="宋体" w:cs="Arial"/>
                <w:kern w:val="0"/>
                <w:sz w:val="20"/>
                <w:szCs w:val="24"/>
                <w:lang w:bidi="ar"/>
              </w:rPr>
              <w:t>837</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kern w:val="0"/>
                <w:sz w:val="20"/>
                <w:szCs w:val="24"/>
                <w:lang w:bidi="ar"/>
              </w:rPr>
            </w:pPr>
            <w:r>
              <w:rPr>
                <w:rFonts w:ascii="Arial" w:hAnsi="Arial" w:eastAsia="宋体" w:cs="Arial"/>
                <w:kern w:val="0"/>
                <w:sz w:val="20"/>
                <w:szCs w:val="24"/>
                <w:lang w:bidi="ar"/>
              </w:rPr>
              <w:t>27.00%</w:t>
            </w:r>
          </w:p>
        </w:tc>
      </w:tr>
      <w:tr>
        <w:tblPrEx>
          <w:tblLayout w:type="fixed"/>
          <w:tblCellMar>
            <w:top w:w="0" w:type="dxa"/>
            <w:left w:w="108" w:type="dxa"/>
            <w:bottom w:w="0" w:type="dxa"/>
            <w:right w:w="108" w:type="dxa"/>
          </w:tblCellMar>
        </w:tblPrEx>
        <w:trPr>
          <w:trHeight w:val="284" w:hRule="atLeast"/>
          <w:jc w:val="center"/>
        </w:trPr>
        <w:tc>
          <w:tcPr>
            <w:tcW w:w="817"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4"/>
              </w:rPr>
            </w:pPr>
            <w:r>
              <w:rPr>
                <w:rFonts w:hint="eastAsia" w:ascii="Arial" w:hAnsi="Arial" w:eastAsia="宋体" w:cs="Arial"/>
                <w:sz w:val="20"/>
                <w:szCs w:val="24"/>
              </w:rPr>
              <w:t>6</w:t>
            </w:r>
          </w:p>
        </w:tc>
        <w:tc>
          <w:tcPr>
            <w:tcW w:w="340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4"/>
              </w:rPr>
            </w:pPr>
            <w:r>
              <w:rPr>
                <w:rFonts w:ascii="Arial" w:hAnsi="Arial" w:eastAsia="宋体" w:cs="Arial"/>
                <w:kern w:val="0"/>
                <w:sz w:val="20"/>
                <w:szCs w:val="24"/>
                <w:lang w:bidi="ar"/>
              </w:rPr>
              <w:t>信息技术与文化管理学院</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4"/>
              </w:rPr>
            </w:pPr>
            <w:r>
              <w:rPr>
                <w:rFonts w:ascii="Arial" w:hAnsi="Arial" w:eastAsia="宋体" w:cs="Arial"/>
                <w:kern w:val="0"/>
                <w:sz w:val="20"/>
                <w:szCs w:val="24"/>
                <w:lang w:bidi="ar"/>
              </w:rPr>
              <w:t>148</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kern w:val="0"/>
                <w:sz w:val="20"/>
                <w:szCs w:val="24"/>
                <w:lang w:bidi="ar"/>
              </w:rPr>
            </w:pPr>
            <w:r>
              <w:rPr>
                <w:rFonts w:ascii="Arial" w:hAnsi="Arial" w:eastAsia="宋体" w:cs="Arial"/>
                <w:kern w:val="0"/>
                <w:sz w:val="20"/>
                <w:szCs w:val="24"/>
                <w:lang w:bidi="ar"/>
              </w:rPr>
              <w:t>4.77%</w:t>
            </w:r>
          </w:p>
        </w:tc>
      </w:tr>
      <w:tr>
        <w:tblPrEx>
          <w:tblLayout w:type="fixed"/>
          <w:tblCellMar>
            <w:top w:w="0" w:type="dxa"/>
            <w:left w:w="108" w:type="dxa"/>
            <w:bottom w:w="0" w:type="dxa"/>
            <w:right w:w="108" w:type="dxa"/>
          </w:tblCellMar>
        </w:tblPrEx>
        <w:trPr>
          <w:trHeight w:val="284" w:hRule="atLeast"/>
          <w:jc w:val="center"/>
        </w:trPr>
        <w:tc>
          <w:tcPr>
            <w:tcW w:w="817"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4"/>
              </w:rPr>
            </w:pPr>
            <w:r>
              <w:rPr>
                <w:rFonts w:hint="eastAsia" w:ascii="Arial" w:hAnsi="Arial" w:eastAsia="宋体" w:cs="Arial"/>
                <w:sz w:val="20"/>
                <w:szCs w:val="24"/>
              </w:rPr>
              <w:t>7</w:t>
            </w:r>
          </w:p>
        </w:tc>
        <w:tc>
          <w:tcPr>
            <w:tcW w:w="340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4"/>
              </w:rPr>
            </w:pPr>
            <w:r>
              <w:rPr>
                <w:rFonts w:ascii="Arial" w:hAnsi="Arial" w:eastAsia="宋体" w:cs="Arial"/>
                <w:kern w:val="0"/>
                <w:sz w:val="20"/>
                <w:szCs w:val="24"/>
                <w:lang w:bidi="ar"/>
              </w:rPr>
              <w:t>艺术设计学院</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4"/>
              </w:rPr>
            </w:pPr>
            <w:r>
              <w:rPr>
                <w:rFonts w:ascii="Arial" w:hAnsi="Arial" w:eastAsia="宋体" w:cs="Arial"/>
                <w:kern w:val="0"/>
                <w:sz w:val="20"/>
                <w:szCs w:val="24"/>
                <w:lang w:bidi="ar"/>
              </w:rPr>
              <w:t>220</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kern w:val="0"/>
                <w:sz w:val="20"/>
                <w:szCs w:val="24"/>
                <w:lang w:bidi="ar"/>
              </w:rPr>
            </w:pPr>
            <w:r>
              <w:rPr>
                <w:rFonts w:ascii="Arial" w:hAnsi="Arial" w:eastAsia="宋体" w:cs="Arial"/>
                <w:kern w:val="0"/>
                <w:sz w:val="20"/>
                <w:szCs w:val="24"/>
                <w:lang w:bidi="ar"/>
              </w:rPr>
              <w:t>7.10%</w:t>
            </w:r>
          </w:p>
        </w:tc>
      </w:tr>
      <w:tr>
        <w:tblPrEx>
          <w:tblLayout w:type="fixed"/>
          <w:tblCellMar>
            <w:top w:w="0" w:type="dxa"/>
            <w:left w:w="108" w:type="dxa"/>
            <w:bottom w:w="0" w:type="dxa"/>
            <w:right w:w="108" w:type="dxa"/>
          </w:tblCellMar>
        </w:tblPrEx>
        <w:trPr>
          <w:trHeight w:val="284" w:hRule="atLeast"/>
          <w:jc w:val="center"/>
        </w:trPr>
        <w:tc>
          <w:tcPr>
            <w:tcW w:w="817"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4"/>
              </w:rPr>
            </w:pPr>
            <w:r>
              <w:rPr>
                <w:rFonts w:hint="eastAsia" w:ascii="Arial" w:hAnsi="Arial" w:eastAsia="宋体" w:cs="Arial"/>
                <w:sz w:val="20"/>
                <w:szCs w:val="24"/>
              </w:rPr>
              <w:t>8</w:t>
            </w:r>
          </w:p>
        </w:tc>
        <w:tc>
          <w:tcPr>
            <w:tcW w:w="340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4"/>
              </w:rPr>
            </w:pPr>
            <w:r>
              <w:rPr>
                <w:rFonts w:ascii="Arial" w:hAnsi="Arial" w:eastAsia="宋体" w:cs="Arial"/>
                <w:kern w:val="0"/>
                <w:sz w:val="20"/>
                <w:szCs w:val="24"/>
                <w:lang w:bidi="ar"/>
              </w:rPr>
              <w:t>艺术体育学院</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4"/>
              </w:rPr>
            </w:pPr>
            <w:r>
              <w:rPr>
                <w:rFonts w:ascii="Arial" w:hAnsi="Arial" w:eastAsia="宋体" w:cs="Arial"/>
                <w:kern w:val="0"/>
                <w:sz w:val="20"/>
                <w:szCs w:val="24"/>
                <w:lang w:bidi="ar"/>
              </w:rPr>
              <w:t>117</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kern w:val="0"/>
                <w:sz w:val="20"/>
                <w:szCs w:val="24"/>
                <w:lang w:bidi="ar"/>
              </w:rPr>
            </w:pPr>
            <w:r>
              <w:rPr>
                <w:rFonts w:ascii="Arial" w:hAnsi="Arial" w:eastAsia="宋体" w:cs="Arial"/>
                <w:kern w:val="0"/>
                <w:sz w:val="20"/>
                <w:szCs w:val="24"/>
                <w:lang w:bidi="ar"/>
              </w:rPr>
              <w:t>3.77%</w:t>
            </w:r>
          </w:p>
        </w:tc>
      </w:tr>
      <w:tr>
        <w:tblPrEx>
          <w:tblLayout w:type="fixed"/>
          <w:tblCellMar>
            <w:top w:w="0" w:type="dxa"/>
            <w:left w:w="108" w:type="dxa"/>
            <w:bottom w:w="0" w:type="dxa"/>
            <w:right w:w="108" w:type="dxa"/>
          </w:tblCellMar>
        </w:tblPrEx>
        <w:trPr>
          <w:trHeight w:val="284" w:hRule="atLeast"/>
          <w:jc w:val="center"/>
        </w:trPr>
        <w:tc>
          <w:tcPr>
            <w:tcW w:w="817"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4"/>
              </w:rPr>
            </w:pPr>
            <w:r>
              <w:rPr>
                <w:rFonts w:hint="eastAsia" w:ascii="Arial" w:hAnsi="Arial" w:eastAsia="宋体" w:cs="Arial"/>
                <w:sz w:val="20"/>
                <w:szCs w:val="24"/>
              </w:rPr>
              <w:t>9</w:t>
            </w:r>
          </w:p>
        </w:tc>
        <w:tc>
          <w:tcPr>
            <w:tcW w:w="340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4"/>
              </w:rPr>
            </w:pPr>
            <w:r>
              <w:rPr>
                <w:rFonts w:ascii="Arial" w:hAnsi="Arial" w:eastAsia="宋体" w:cs="Arial"/>
                <w:kern w:val="0"/>
                <w:sz w:val="20"/>
                <w:szCs w:val="24"/>
                <w:lang w:bidi="ar"/>
              </w:rPr>
              <w:t>影视艺术学院</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4"/>
              </w:rPr>
            </w:pPr>
            <w:r>
              <w:rPr>
                <w:rFonts w:ascii="Arial" w:hAnsi="Arial" w:eastAsia="宋体" w:cs="Arial"/>
                <w:kern w:val="0"/>
                <w:sz w:val="20"/>
                <w:szCs w:val="24"/>
                <w:lang w:bidi="ar"/>
              </w:rPr>
              <w:t>1345</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kern w:val="0"/>
                <w:sz w:val="20"/>
                <w:szCs w:val="24"/>
                <w:lang w:bidi="ar"/>
              </w:rPr>
            </w:pPr>
            <w:r>
              <w:rPr>
                <w:rFonts w:ascii="Arial" w:hAnsi="Arial" w:eastAsia="宋体" w:cs="Arial"/>
                <w:kern w:val="0"/>
                <w:sz w:val="20"/>
                <w:szCs w:val="24"/>
                <w:lang w:bidi="ar"/>
              </w:rPr>
              <w:t>43.39%</w:t>
            </w:r>
          </w:p>
        </w:tc>
      </w:tr>
      <w:tr>
        <w:tblPrEx>
          <w:tblLayout w:type="fixed"/>
          <w:tblCellMar>
            <w:top w:w="0" w:type="dxa"/>
            <w:left w:w="108" w:type="dxa"/>
            <w:bottom w:w="0" w:type="dxa"/>
            <w:right w:w="108" w:type="dxa"/>
          </w:tblCellMar>
        </w:tblPrEx>
        <w:trPr>
          <w:trHeight w:val="284" w:hRule="atLeast"/>
          <w:jc w:val="center"/>
        </w:trPr>
        <w:tc>
          <w:tcPr>
            <w:tcW w:w="4219" w:type="dxa"/>
            <w:gridSpan w:val="2"/>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b/>
                <w:kern w:val="0"/>
                <w:sz w:val="20"/>
                <w:szCs w:val="24"/>
                <w:lang w:bidi="ar"/>
              </w:rPr>
            </w:pPr>
            <w:r>
              <w:rPr>
                <w:rFonts w:hint="eastAsia" w:ascii="Arial" w:hAnsi="Arial" w:eastAsia="宋体" w:cs="Arial"/>
                <w:b/>
                <w:kern w:val="0"/>
                <w:sz w:val="20"/>
                <w:szCs w:val="24"/>
                <w:lang w:bidi="ar"/>
              </w:rPr>
              <w:t>总计</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b/>
                <w:kern w:val="0"/>
                <w:sz w:val="20"/>
                <w:szCs w:val="24"/>
                <w:lang w:bidi="ar"/>
              </w:rPr>
            </w:pPr>
            <w:r>
              <w:rPr>
                <w:rFonts w:hint="eastAsia" w:ascii="Arial" w:hAnsi="Arial" w:eastAsia="宋体" w:cs="Arial"/>
                <w:b/>
                <w:kern w:val="0"/>
                <w:sz w:val="20"/>
                <w:szCs w:val="24"/>
                <w:lang w:bidi="ar"/>
              </w:rPr>
              <w:t>3100</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b/>
                <w:kern w:val="0"/>
                <w:sz w:val="20"/>
                <w:szCs w:val="24"/>
                <w:lang w:bidi="ar"/>
              </w:rPr>
            </w:pPr>
          </w:p>
        </w:tc>
      </w:tr>
    </w:tbl>
    <w:p>
      <w:pPr>
        <w:pStyle w:val="33"/>
        <w:tabs>
          <w:tab w:val="left" w:pos="312"/>
        </w:tabs>
        <w:spacing w:before="100" w:after="100" w:afterLines="0" w:line="360" w:lineRule="auto"/>
        <w:ind w:left="482" w:firstLine="0" w:firstLineChars="0"/>
        <w:outlineLvl w:val="2"/>
        <w:rPr>
          <w:rFonts w:ascii="Times New Roman" w:hAnsi="Times New Roman" w:eastAsia="宋体"/>
          <w:b w:val="0"/>
          <w:bCs w:val="0"/>
          <w:sz w:val="24"/>
          <w:szCs w:val="24"/>
        </w:rPr>
      </w:pPr>
      <w:bookmarkStart w:id="31" w:name="_Toc5150"/>
      <w:bookmarkStart w:id="32" w:name="_Toc501407169"/>
      <w:bookmarkStart w:id="33" w:name="_Toc501407777"/>
      <w:bookmarkStart w:id="34" w:name="_Toc24903"/>
      <w:r>
        <w:rPr>
          <w:rFonts w:hint="eastAsia" w:ascii="Times New Roman" w:hAnsi="Times New Roman" w:eastAsia="宋体"/>
          <w:b w:val="0"/>
          <w:bCs w:val="0"/>
          <w:sz w:val="24"/>
          <w:szCs w:val="24"/>
        </w:rPr>
        <w:t>2.2  2017届本科毕业生专业分布情况</w:t>
      </w:r>
      <w:bookmarkEnd w:id="31"/>
      <w:bookmarkEnd w:id="32"/>
      <w:bookmarkEnd w:id="33"/>
      <w:bookmarkEnd w:id="34"/>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学校2017届</w:t>
      </w:r>
      <w:r>
        <w:rPr>
          <w:rFonts w:ascii="Times New Roman" w:hAnsi="Times New Roman" w:eastAsia="宋体" w:cs="Times New Roman"/>
          <w:sz w:val="24"/>
          <w:szCs w:val="24"/>
        </w:rPr>
        <w:t>本科毕业生</w:t>
      </w:r>
      <w:r>
        <w:rPr>
          <w:rFonts w:hint="eastAsia" w:ascii="Times New Roman" w:hAnsi="Times New Roman" w:eastAsia="宋体" w:cs="Times New Roman"/>
          <w:sz w:val="24"/>
          <w:szCs w:val="24"/>
        </w:rPr>
        <w:t>分布在36个专业</w:t>
      </w:r>
      <w:r>
        <w:rPr>
          <w:rFonts w:ascii="Times New Roman" w:hAnsi="Times New Roman" w:eastAsia="宋体" w:cs="Times New Roman"/>
          <w:sz w:val="24"/>
          <w:szCs w:val="24"/>
        </w:rPr>
        <w:t>，各</w:t>
      </w:r>
      <w:r>
        <w:rPr>
          <w:rFonts w:hint="eastAsia" w:ascii="Times New Roman" w:hAnsi="Times New Roman" w:eastAsia="宋体" w:cs="Times New Roman"/>
          <w:sz w:val="24"/>
          <w:szCs w:val="24"/>
        </w:rPr>
        <w:t>专业</w:t>
      </w:r>
      <w:r>
        <w:rPr>
          <w:rFonts w:ascii="Times New Roman" w:hAnsi="Times New Roman" w:eastAsia="宋体" w:cs="Times New Roman"/>
          <w:sz w:val="24"/>
          <w:szCs w:val="24"/>
        </w:rPr>
        <w:t>毕业生人数如下表所示。其中</w:t>
      </w:r>
      <w:r>
        <w:rPr>
          <w:rFonts w:hint="eastAsia" w:ascii="Times New Roman" w:hAnsi="Times New Roman" w:eastAsia="宋体" w:cs="Times New Roman"/>
          <w:sz w:val="24"/>
          <w:szCs w:val="24"/>
        </w:rPr>
        <w:t>毕业生</w:t>
      </w:r>
      <w:r>
        <w:rPr>
          <w:rFonts w:ascii="Times New Roman" w:hAnsi="Times New Roman" w:eastAsia="宋体" w:cs="Times New Roman"/>
          <w:sz w:val="24"/>
          <w:szCs w:val="24"/>
        </w:rPr>
        <w:t>人数占比排名前三位的</w:t>
      </w:r>
      <w:r>
        <w:rPr>
          <w:rFonts w:hint="eastAsia" w:ascii="Times New Roman" w:hAnsi="Times New Roman" w:eastAsia="宋体" w:cs="Times New Roman"/>
          <w:sz w:val="24"/>
          <w:szCs w:val="24"/>
        </w:rPr>
        <w:t>专业</w:t>
      </w:r>
      <w:r>
        <w:rPr>
          <w:rFonts w:ascii="Times New Roman" w:hAnsi="Times New Roman" w:eastAsia="宋体" w:cs="Times New Roman"/>
          <w:sz w:val="24"/>
          <w:szCs w:val="24"/>
        </w:rPr>
        <w:t>分别是：广播电视编导</w:t>
      </w:r>
      <w:r>
        <w:rPr>
          <w:rFonts w:hint="eastAsia" w:ascii="Times New Roman" w:hAnsi="Times New Roman" w:eastAsia="宋体" w:cs="Times New Roman"/>
          <w:sz w:val="24"/>
          <w:szCs w:val="24"/>
        </w:rPr>
        <w:t>，</w:t>
      </w:r>
      <w:r>
        <w:rPr>
          <w:rFonts w:ascii="Times New Roman" w:hAnsi="Times New Roman" w:eastAsia="宋体" w:cs="Times New Roman"/>
          <w:sz w:val="24"/>
          <w:szCs w:val="24"/>
        </w:rPr>
        <w:t>占本科毕业生总人数的</w:t>
      </w:r>
      <w:r>
        <w:rPr>
          <w:rFonts w:hint="eastAsia" w:ascii="Times New Roman" w:hAnsi="Times New Roman" w:eastAsia="宋体" w:cs="Times New Roman"/>
          <w:sz w:val="24"/>
          <w:szCs w:val="24"/>
        </w:rPr>
        <w:t>27.55</w:t>
      </w:r>
      <w:r>
        <w:rPr>
          <w:rFonts w:ascii="Times New Roman" w:hAnsi="Times New Roman" w:eastAsia="宋体" w:cs="Times New Roman"/>
          <w:sz w:val="24"/>
          <w:szCs w:val="24"/>
        </w:rPr>
        <w:t>%</w:t>
      </w:r>
      <w:r>
        <w:rPr>
          <w:rFonts w:hint="eastAsia" w:ascii="Times New Roman" w:hAnsi="Times New Roman" w:eastAsia="宋体" w:cs="Times New Roman"/>
          <w:sz w:val="24"/>
          <w:szCs w:val="24"/>
        </w:rPr>
        <w:t>；</w:t>
      </w:r>
      <w:r>
        <w:rPr>
          <w:rFonts w:ascii="Times New Roman" w:hAnsi="Times New Roman" w:eastAsia="宋体" w:cs="Times New Roman"/>
          <w:sz w:val="24"/>
          <w:szCs w:val="24"/>
        </w:rPr>
        <w:t>播音与主持艺术</w:t>
      </w:r>
      <w:r>
        <w:rPr>
          <w:rFonts w:hint="eastAsia" w:ascii="Times New Roman" w:hAnsi="Times New Roman" w:eastAsia="宋体" w:cs="Times New Roman"/>
          <w:sz w:val="24"/>
          <w:szCs w:val="24"/>
        </w:rPr>
        <w:t>，</w:t>
      </w:r>
      <w:r>
        <w:rPr>
          <w:rFonts w:ascii="Times New Roman" w:hAnsi="Times New Roman" w:eastAsia="宋体" w:cs="Times New Roman"/>
          <w:sz w:val="24"/>
          <w:szCs w:val="24"/>
        </w:rPr>
        <w:t>占本科毕业生总人数的</w:t>
      </w:r>
      <w:r>
        <w:rPr>
          <w:rFonts w:hint="eastAsia" w:ascii="Times New Roman" w:hAnsi="Times New Roman" w:eastAsia="宋体" w:cs="Times New Roman"/>
          <w:sz w:val="24"/>
          <w:szCs w:val="24"/>
        </w:rPr>
        <w:t>20.55</w:t>
      </w:r>
      <w:r>
        <w:rPr>
          <w:rFonts w:ascii="Times New Roman" w:hAnsi="Times New Roman" w:eastAsia="宋体" w:cs="Times New Roman"/>
          <w:sz w:val="24"/>
          <w:szCs w:val="24"/>
        </w:rPr>
        <w:t>%；摄影</w:t>
      </w:r>
      <w:r>
        <w:rPr>
          <w:rFonts w:hint="eastAsia" w:ascii="Times New Roman" w:hAnsi="Times New Roman" w:eastAsia="宋体" w:cs="Times New Roman"/>
          <w:sz w:val="24"/>
          <w:szCs w:val="24"/>
        </w:rPr>
        <w:t>，</w:t>
      </w:r>
      <w:r>
        <w:rPr>
          <w:rFonts w:ascii="Times New Roman" w:hAnsi="Times New Roman" w:eastAsia="宋体" w:cs="Times New Roman"/>
          <w:sz w:val="24"/>
          <w:szCs w:val="24"/>
        </w:rPr>
        <w:t>占本科毕业生总人数的</w:t>
      </w:r>
      <w:r>
        <w:rPr>
          <w:rFonts w:hint="eastAsia" w:ascii="Times New Roman" w:hAnsi="Times New Roman" w:eastAsia="宋体" w:cs="Times New Roman"/>
          <w:sz w:val="24"/>
          <w:szCs w:val="24"/>
        </w:rPr>
        <w:t>7.00</w:t>
      </w:r>
      <w:r>
        <w:rPr>
          <w:rFonts w:ascii="Times New Roman" w:hAnsi="Times New Roman" w:eastAsia="宋体" w:cs="Times New Roman"/>
          <w:sz w:val="24"/>
          <w:szCs w:val="24"/>
        </w:rPr>
        <w:t>%。</w:t>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表1-3 2017届本科毕业生的专业分布</w:t>
      </w:r>
    </w:p>
    <w:tbl>
      <w:tblPr>
        <w:tblStyle w:val="26"/>
        <w:tblW w:w="7938" w:type="dxa"/>
        <w:jc w:val="center"/>
        <w:tblInd w:w="93" w:type="dxa"/>
        <w:tblLayout w:type="fixed"/>
        <w:tblCellMar>
          <w:top w:w="0" w:type="dxa"/>
          <w:left w:w="108" w:type="dxa"/>
          <w:bottom w:w="0" w:type="dxa"/>
          <w:right w:w="108" w:type="dxa"/>
        </w:tblCellMar>
      </w:tblPr>
      <w:tblGrid>
        <w:gridCol w:w="2493"/>
        <w:gridCol w:w="1292"/>
        <w:gridCol w:w="3102"/>
        <w:gridCol w:w="1051"/>
      </w:tblGrid>
      <w:tr>
        <w:tblPrEx>
          <w:tblLayout w:type="fixed"/>
          <w:tblCellMar>
            <w:top w:w="0" w:type="dxa"/>
            <w:left w:w="108" w:type="dxa"/>
            <w:bottom w:w="0" w:type="dxa"/>
            <w:right w:w="108" w:type="dxa"/>
          </w:tblCellMar>
        </w:tblPrEx>
        <w:trPr>
          <w:trHeight w:val="567" w:hRule="atLeast"/>
          <w:jc w:val="center"/>
        </w:trPr>
        <w:tc>
          <w:tcPr>
            <w:tcW w:w="2493" w:type="dxa"/>
            <w:tcBorders>
              <w:top w:val="single" w:color="4BACC6" w:sz="8" w:space="0"/>
              <w:left w:val="single" w:color="4BACC6" w:sz="8" w:space="0"/>
              <w:bottom w:val="single" w:color="FFFFFF" w:sz="4" w:space="0"/>
              <w:right w:val="single" w:color="4BACC6" w:sz="8" w:space="0"/>
            </w:tcBorders>
            <w:shd w:val="clear" w:color="auto" w:fill="4BACC6"/>
            <w:vAlign w:val="center"/>
          </w:tcPr>
          <w:p>
            <w:pPr>
              <w:widowControl/>
              <w:jc w:val="center"/>
              <w:rPr>
                <w:rFonts w:ascii="宋体" w:hAnsi="宋体" w:eastAsia="宋体" w:cs="Arial"/>
                <w:b/>
                <w:kern w:val="0"/>
                <w:sz w:val="20"/>
                <w:szCs w:val="20"/>
              </w:rPr>
            </w:pPr>
            <w:r>
              <w:rPr>
                <w:rFonts w:hint="eastAsia" w:ascii="宋体" w:hAnsi="宋体" w:eastAsia="宋体" w:cs="Arial"/>
                <w:b/>
                <w:kern w:val="0"/>
                <w:sz w:val="20"/>
                <w:szCs w:val="20"/>
              </w:rPr>
              <w:t>学院</w:t>
            </w:r>
          </w:p>
        </w:tc>
        <w:tc>
          <w:tcPr>
            <w:tcW w:w="1292" w:type="dxa"/>
            <w:tcBorders>
              <w:top w:val="single" w:color="4BACC6" w:sz="8" w:space="0"/>
              <w:left w:val="single" w:color="4BACC6" w:sz="8" w:space="0"/>
              <w:bottom w:val="single" w:color="FFFFFF" w:sz="4" w:space="0"/>
              <w:right w:val="single" w:color="4BACC6" w:sz="8" w:space="0"/>
            </w:tcBorders>
            <w:shd w:val="clear" w:color="auto" w:fill="4BACC6"/>
            <w:vAlign w:val="center"/>
          </w:tcPr>
          <w:p>
            <w:pPr>
              <w:widowControl/>
              <w:jc w:val="center"/>
              <w:rPr>
                <w:rFonts w:ascii="宋体" w:hAnsi="宋体" w:eastAsia="宋体" w:cs="Arial"/>
                <w:b/>
                <w:kern w:val="0"/>
                <w:sz w:val="20"/>
                <w:szCs w:val="20"/>
              </w:rPr>
            </w:pPr>
            <w:r>
              <w:rPr>
                <w:rFonts w:hint="eastAsia" w:ascii="宋体" w:hAnsi="宋体" w:eastAsia="宋体" w:cs="Arial"/>
                <w:b/>
                <w:kern w:val="0"/>
                <w:sz w:val="20"/>
                <w:szCs w:val="20"/>
              </w:rPr>
              <w:t>学院总人数</w:t>
            </w:r>
          </w:p>
        </w:tc>
        <w:tc>
          <w:tcPr>
            <w:tcW w:w="3102" w:type="dxa"/>
            <w:tcBorders>
              <w:top w:val="single" w:color="4BACC6" w:sz="8" w:space="0"/>
              <w:left w:val="single" w:color="4BACC6" w:sz="8" w:space="0"/>
              <w:bottom w:val="single" w:color="FFFFFF" w:sz="4" w:space="0"/>
              <w:right w:val="single" w:color="4BACC6" w:sz="8" w:space="0"/>
            </w:tcBorders>
            <w:shd w:val="clear" w:color="auto" w:fill="4BACC6"/>
            <w:vAlign w:val="center"/>
          </w:tcPr>
          <w:p>
            <w:pPr>
              <w:widowControl/>
              <w:jc w:val="center"/>
              <w:rPr>
                <w:rFonts w:ascii="宋体" w:hAnsi="宋体" w:eastAsia="宋体" w:cs="Arial"/>
                <w:b/>
                <w:kern w:val="0"/>
                <w:sz w:val="20"/>
                <w:szCs w:val="20"/>
              </w:rPr>
            </w:pPr>
            <w:r>
              <w:rPr>
                <w:rFonts w:hint="eastAsia" w:ascii="宋体" w:hAnsi="宋体" w:eastAsia="宋体" w:cs="Arial"/>
                <w:b/>
                <w:kern w:val="0"/>
                <w:sz w:val="20"/>
                <w:szCs w:val="20"/>
              </w:rPr>
              <w:t>专业</w:t>
            </w:r>
          </w:p>
        </w:tc>
        <w:tc>
          <w:tcPr>
            <w:tcW w:w="1051" w:type="dxa"/>
            <w:tcBorders>
              <w:top w:val="single" w:color="4BACC6" w:sz="8" w:space="0"/>
              <w:left w:val="single" w:color="4BACC6" w:sz="8" w:space="0"/>
              <w:bottom w:val="single" w:color="FFFFFF" w:sz="4" w:space="0"/>
              <w:right w:val="single" w:color="4BACC6" w:sz="8" w:space="0"/>
            </w:tcBorders>
            <w:shd w:val="clear" w:color="auto" w:fill="4BACC6"/>
            <w:vAlign w:val="center"/>
          </w:tcPr>
          <w:p>
            <w:pPr>
              <w:widowControl/>
              <w:jc w:val="center"/>
              <w:rPr>
                <w:rFonts w:ascii="宋体" w:hAnsi="宋体" w:eastAsia="宋体" w:cs="Arial"/>
                <w:b/>
                <w:kern w:val="0"/>
                <w:sz w:val="20"/>
                <w:szCs w:val="20"/>
              </w:rPr>
            </w:pPr>
            <w:r>
              <w:rPr>
                <w:rFonts w:hint="eastAsia" w:ascii="宋体" w:hAnsi="宋体" w:eastAsia="宋体" w:cs="Arial"/>
                <w:b/>
                <w:kern w:val="0"/>
                <w:sz w:val="20"/>
                <w:szCs w:val="20"/>
              </w:rPr>
              <w:t>专业人数</w:t>
            </w:r>
          </w:p>
        </w:tc>
      </w:tr>
      <w:tr>
        <w:tblPrEx>
          <w:tblLayout w:type="fixed"/>
          <w:tblCellMar>
            <w:top w:w="0" w:type="dxa"/>
            <w:left w:w="108" w:type="dxa"/>
            <w:bottom w:w="0" w:type="dxa"/>
            <w:right w:w="108" w:type="dxa"/>
          </w:tblCellMar>
        </w:tblPrEx>
        <w:trPr>
          <w:trHeight w:val="284" w:hRule="atLeast"/>
          <w:jc w:val="center"/>
        </w:trPr>
        <w:tc>
          <w:tcPr>
            <w:tcW w:w="2493" w:type="dxa"/>
            <w:vMerge w:val="restart"/>
            <w:tcBorders>
              <w:top w:val="single" w:color="FFFFFF" w:sz="0" w:space="0"/>
              <w:left w:val="single" w:color="4BACC6" w:sz="8" w:space="0"/>
              <w:bottom w:val="single" w:color="4BACC6" w:sz="8" w:space="0"/>
              <w:right w:val="single" w:color="4BACC6" w:sz="8" w:space="0"/>
            </w:tcBorders>
            <w:shd w:val="clear" w:color="auto" w:fill="B7DDE8"/>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表演艺术学院</w:t>
            </w:r>
          </w:p>
        </w:tc>
        <w:tc>
          <w:tcPr>
            <w:tcW w:w="1292" w:type="dxa"/>
            <w:vMerge w:val="restart"/>
            <w:tcBorders>
              <w:top w:val="single" w:color="FFFFFF" w:sz="0" w:space="0"/>
              <w:left w:val="single" w:color="4BACC6" w:sz="8" w:space="0"/>
              <w:bottom w:val="single" w:color="4BACC6" w:sz="8" w:space="0"/>
              <w:right w:val="single" w:color="4BACC6" w:sz="8" w:space="0"/>
            </w:tcBorders>
            <w:shd w:val="clear" w:color="auto" w:fill="B7DDE8"/>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261</w:t>
            </w:r>
          </w:p>
        </w:tc>
        <w:tc>
          <w:tcPr>
            <w:tcW w:w="3102" w:type="dxa"/>
            <w:tcBorders>
              <w:top w:val="single" w:color="FFFFFF" w:sz="0" w:space="0"/>
              <w:left w:val="single" w:color="4BACC6" w:sz="8" w:space="0"/>
              <w:bottom w:val="single" w:color="4BACC6" w:sz="8" w:space="0"/>
              <w:right w:val="single" w:color="4BACC6" w:sz="8" w:space="0"/>
            </w:tcBorders>
            <w:shd w:val="clear" w:color="auto" w:fill="B7DDE8"/>
            <w:vAlign w:val="bottom"/>
          </w:tcPr>
          <w:p>
            <w:pPr>
              <w:widowControl/>
              <w:jc w:val="left"/>
              <w:rPr>
                <w:rFonts w:ascii="Arial" w:hAnsi="Arial" w:eastAsia="宋体" w:cs="Arial"/>
                <w:kern w:val="0"/>
                <w:sz w:val="20"/>
                <w:szCs w:val="20"/>
              </w:rPr>
            </w:pPr>
            <w:r>
              <w:rPr>
                <w:rFonts w:ascii="Arial" w:hAnsi="Arial" w:eastAsia="宋体" w:cs="Arial"/>
                <w:kern w:val="0"/>
                <w:sz w:val="20"/>
                <w:szCs w:val="20"/>
              </w:rPr>
              <w:t>表演</w:t>
            </w:r>
          </w:p>
        </w:tc>
        <w:tc>
          <w:tcPr>
            <w:tcW w:w="1051" w:type="dxa"/>
            <w:tcBorders>
              <w:top w:val="single" w:color="FFFFFF" w:sz="0" w:space="0"/>
              <w:left w:val="single" w:color="4BACC6" w:sz="8" w:space="0"/>
              <w:bottom w:val="single" w:color="4BACC6" w:sz="8" w:space="0"/>
              <w:right w:val="single" w:color="4BACC6" w:sz="8" w:space="0"/>
            </w:tcBorders>
            <w:shd w:val="clear" w:color="auto" w:fill="B7DDE8"/>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185</w:t>
            </w:r>
          </w:p>
        </w:tc>
      </w:tr>
      <w:tr>
        <w:tblPrEx>
          <w:tblLayout w:type="fixed"/>
          <w:tblCellMar>
            <w:top w:w="0" w:type="dxa"/>
            <w:left w:w="108" w:type="dxa"/>
            <w:bottom w:w="0" w:type="dxa"/>
            <w:right w:w="108" w:type="dxa"/>
          </w:tblCellMar>
        </w:tblPrEx>
        <w:trPr>
          <w:trHeight w:val="284" w:hRule="atLeast"/>
          <w:jc w:val="center"/>
        </w:trPr>
        <w:tc>
          <w:tcPr>
            <w:tcW w:w="2493"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left"/>
              <w:rPr>
                <w:rFonts w:ascii="Arial" w:hAnsi="Arial" w:eastAsia="宋体" w:cs="Arial"/>
                <w:kern w:val="0"/>
                <w:sz w:val="20"/>
                <w:szCs w:val="20"/>
              </w:rPr>
            </w:pPr>
          </w:p>
        </w:tc>
        <w:tc>
          <w:tcPr>
            <w:tcW w:w="1292"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left"/>
              <w:rPr>
                <w:rFonts w:ascii="Arial" w:hAnsi="Arial" w:eastAsia="宋体" w:cs="Arial"/>
                <w:kern w:val="0"/>
                <w:sz w:val="20"/>
                <w:szCs w:val="20"/>
              </w:rPr>
            </w:pPr>
          </w:p>
        </w:tc>
        <w:tc>
          <w:tcPr>
            <w:tcW w:w="310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left"/>
              <w:rPr>
                <w:rFonts w:ascii="Arial" w:hAnsi="Arial" w:eastAsia="宋体" w:cs="Arial"/>
                <w:kern w:val="0"/>
                <w:sz w:val="20"/>
                <w:szCs w:val="20"/>
              </w:rPr>
            </w:pPr>
            <w:r>
              <w:rPr>
                <w:rFonts w:ascii="Arial" w:hAnsi="Arial" w:eastAsia="宋体" w:cs="Arial"/>
                <w:kern w:val="0"/>
                <w:sz w:val="20"/>
                <w:szCs w:val="20"/>
              </w:rPr>
              <w:t>艺术与科技</w:t>
            </w:r>
          </w:p>
        </w:tc>
        <w:tc>
          <w:tcPr>
            <w:tcW w:w="1051"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rPr>
                <w:rFonts w:ascii="Arial" w:hAnsi="Arial" w:eastAsia="宋体" w:cs="Arial"/>
                <w:kern w:val="0"/>
                <w:sz w:val="20"/>
                <w:szCs w:val="20"/>
              </w:rPr>
            </w:pPr>
            <w:r>
              <w:rPr>
                <w:rFonts w:ascii="Arial" w:hAnsi="Arial" w:eastAsia="宋体" w:cs="Arial"/>
                <w:kern w:val="0"/>
                <w:sz w:val="20"/>
                <w:szCs w:val="20"/>
              </w:rPr>
              <w:t>9</w:t>
            </w:r>
          </w:p>
        </w:tc>
      </w:tr>
      <w:tr>
        <w:tblPrEx>
          <w:tblLayout w:type="fixed"/>
          <w:tblCellMar>
            <w:top w:w="0" w:type="dxa"/>
            <w:left w:w="108" w:type="dxa"/>
            <w:bottom w:w="0" w:type="dxa"/>
            <w:right w:w="108" w:type="dxa"/>
          </w:tblCellMar>
        </w:tblPrEx>
        <w:trPr>
          <w:trHeight w:val="284" w:hRule="atLeast"/>
          <w:jc w:val="center"/>
        </w:trPr>
        <w:tc>
          <w:tcPr>
            <w:tcW w:w="2493"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left"/>
              <w:rPr>
                <w:rFonts w:ascii="Arial" w:hAnsi="Arial" w:eastAsia="宋体" w:cs="Arial"/>
                <w:kern w:val="0"/>
                <w:sz w:val="20"/>
                <w:szCs w:val="20"/>
              </w:rPr>
            </w:pPr>
          </w:p>
        </w:tc>
        <w:tc>
          <w:tcPr>
            <w:tcW w:w="1292"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left"/>
              <w:rPr>
                <w:rFonts w:ascii="Arial" w:hAnsi="Arial" w:eastAsia="宋体" w:cs="Arial"/>
                <w:kern w:val="0"/>
                <w:sz w:val="20"/>
                <w:szCs w:val="20"/>
              </w:rPr>
            </w:pPr>
          </w:p>
        </w:tc>
        <w:tc>
          <w:tcPr>
            <w:tcW w:w="310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left"/>
              <w:rPr>
                <w:rFonts w:ascii="Arial" w:hAnsi="Arial" w:eastAsia="宋体" w:cs="Arial"/>
                <w:kern w:val="0"/>
                <w:sz w:val="20"/>
                <w:szCs w:val="20"/>
              </w:rPr>
            </w:pPr>
            <w:r>
              <w:rPr>
                <w:rFonts w:ascii="Arial" w:hAnsi="Arial" w:eastAsia="宋体" w:cs="Arial"/>
                <w:kern w:val="0"/>
                <w:sz w:val="20"/>
                <w:szCs w:val="20"/>
              </w:rPr>
              <w:t>音乐表演</w:t>
            </w:r>
          </w:p>
        </w:tc>
        <w:tc>
          <w:tcPr>
            <w:tcW w:w="1051"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rPr>
                <w:rFonts w:ascii="Arial" w:hAnsi="Arial" w:eastAsia="宋体" w:cs="Arial"/>
                <w:kern w:val="0"/>
                <w:sz w:val="20"/>
                <w:szCs w:val="20"/>
              </w:rPr>
            </w:pPr>
            <w:r>
              <w:rPr>
                <w:rFonts w:ascii="Arial" w:hAnsi="Arial" w:eastAsia="宋体" w:cs="Arial"/>
                <w:kern w:val="0"/>
                <w:sz w:val="20"/>
                <w:szCs w:val="20"/>
              </w:rPr>
              <w:t>67</w:t>
            </w:r>
          </w:p>
        </w:tc>
      </w:tr>
      <w:tr>
        <w:tblPrEx>
          <w:tblLayout w:type="fixed"/>
          <w:tblCellMar>
            <w:top w:w="0" w:type="dxa"/>
            <w:left w:w="108" w:type="dxa"/>
            <w:bottom w:w="0" w:type="dxa"/>
            <w:right w:w="108" w:type="dxa"/>
          </w:tblCellMar>
        </w:tblPrEx>
        <w:trPr>
          <w:trHeight w:val="284" w:hRule="atLeast"/>
          <w:jc w:val="center"/>
        </w:trPr>
        <w:tc>
          <w:tcPr>
            <w:tcW w:w="2493"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动画学院</w:t>
            </w:r>
          </w:p>
        </w:tc>
        <w:tc>
          <w:tcPr>
            <w:tcW w:w="1292"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14</w:t>
            </w:r>
          </w:p>
        </w:tc>
        <w:tc>
          <w:tcPr>
            <w:tcW w:w="310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left"/>
              <w:rPr>
                <w:rFonts w:ascii="Arial" w:hAnsi="Arial" w:eastAsia="宋体" w:cs="Arial"/>
                <w:kern w:val="0"/>
                <w:sz w:val="20"/>
                <w:szCs w:val="20"/>
              </w:rPr>
            </w:pPr>
            <w:r>
              <w:rPr>
                <w:rFonts w:ascii="Arial" w:hAnsi="Arial" w:eastAsia="宋体" w:cs="Arial"/>
                <w:kern w:val="0"/>
                <w:sz w:val="20"/>
                <w:szCs w:val="20"/>
              </w:rPr>
              <w:t>动画</w:t>
            </w:r>
          </w:p>
        </w:tc>
        <w:tc>
          <w:tcPr>
            <w:tcW w:w="1051"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14</w:t>
            </w:r>
          </w:p>
        </w:tc>
      </w:tr>
      <w:tr>
        <w:tblPrEx>
          <w:tblLayout w:type="fixed"/>
          <w:tblCellMar>
            <w:top w:w="0" w:type="dxa"/>
            <w:left w:w="108" w:type="dxa"/>
            <w:bottom w:w="0" w:type="dxa"/>
            <w:right w:w="108" w:type="dxa"/>
          </w:tblCellMar>
        </w:tblPrEx>
        <w:trPr>
          <w:trHeight w:val="284" w:hRule="atLeast"/>
          <w:jc w:val="center"/>
        </w:trPr>
        <w:tc>
          <w:tcPr>
            <w:tcW w:w="2493" w:type="dxa"/>
            <w:vMerge w:val="restart"/>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国际传播学院</w:t>
            </w:r>
          </w:p>
        </w:tc>
        <w:tc>
          <w:tcPr>
            <w:tcW w:w="1292" w:type="dxa"/>
            <w:vMerge w:val="restart"/>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126</w:t>
            </w:r>
          </w:p>
        </w:tc>
        <w:tc>
          <w:tcPr>
            <w:tcW w:w="310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left"/>
              <w:rPr>
                <w:rFonts w:ascii="Arial" w:hAnsi="Arial" w:eastAsia="宋体" w:cs="Arial"/>
                <w:kern w:val="0"/>
                <w:sz w:val="20"/>
                <w:szCs w:val="20"/>
              </w:rPr>
            </w:pPr>
            <w:r>
              <w:rPr>
                <w:rFonts w:ascii="Arial" w:hAnsi="Arial" w:eastAsia="宋体" w:cs="Arial"/>
                <w:kern w:val="0"/>
                <w:sz w:val="20"/>
                <w:szCs w:val="20"/>
              </w:rPr>
              <w:t>汉语国际教育</w:t>
            </w:r>
          </w:p>
        </w:tc>
        <w:tc>
          <w:tcPr>
            <w:tcW w:w="1051"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10</w:t>
            </w:r>
          </w:p>
        </w:tc>
      </w:tr>
      <w:tr>
        <w:tblPrEx>
          <w:tblLayout w:type="fixed"/>
          <w:tblCellMar>
            <w:top w:w="0" w:type="dxa"/>
            <w:left w:w="108" w:type="dxa"/>
            <w:bottom w:w="0" w:type="dxa"/>
            <w:right w:w="108" w:type="dxa"/>
          </w:tblCellMar>
        </w:tblPrEx>
        <w:trPr>
          <w:trHeight w:val="284" w:hRule="atLeast"/>
          <w:jc w:val="center"/>
        </w:trPr>
        <w:tc>
          <w:tcPr>
            <w:tcW w:w="2493"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left"/>
              <w:rPr>
                <w:rFonts w:ascii="Arial" w:hAnsi="Arial" w:eastAsia="宋体" w:cs="Arial"/>
                <w:kern w:val="0"/>
                <w:sz w:val="20"/>
                <w:szCs w:val="20"/>
              </w:rPr>
            </w:pPr>
          </w:p>
        </w:tc>
        <w:tc>
          <w:tcPr>
            <w:tcW w:w="1292"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left"/>
              <w:rPr>
                <w:rFonts w:ascii="Arial" w:hAnsi="Arial" w:eastAsia="宋体" w:cs="Arial"/>
                <w:kern w:val="0"/>
                <w:sz w:val="20"/>
                <w:szCs w:val="20"/>
              </w:rPr>
            </w:pPr>
          </w:p>
        </w:tc>
        <w:tc>
          <w:tcPr>
            <w:tcW w:w="310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left"/>
              <w:rPr>
                <w:rFonts w:ascii="Arial" w:hAnsi="Arial" w:eastAsia="宋体" w:cs="Arial"/>
                <w:kern w:val="0"/>
                <w:sz w:val="20"/>
                <w:szCs w:val="20"/>
              </w:rPr>
            </w:pPr>
            <w:r>
              <w:rPr>
                <w:rFonts w:ascii="Arial" w:hAnsi="Arial" w:eastAsia="宋体" w:cs="Arial"/>
                <w:kern w:val="0"/>
                <w:sz w:val="20"/>
                <w:szCs w:val="20"/>
              </w:rPr>
              <w:t>汉语言文学</w:t>
            </w:r>
          </w:p>
        </w:tc>
        <w:tc>
          <w:tcPr>
            <w:tcW w:w="1051"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rPr>
                <w:rFonts w:ascii="Arial" w:hAnsi="Arial" w:eastAsia="宋体" w:cs="Arial"/>
                <w:kern w:val="0"/>
                <w:sz w:val="20"/>
                <w:szCs w:val="20"/>
              </w:rPr>
            </w:pPr>
            <w:r>
              <w:rPr>
                <w:rFonts w:ascii="Arial" w:hAnsi="Arial" w:eastAsia="宋体" w:cs="Arial"/>
                <w:kern w:val="0"/>
                <w:sz w:val="20"/>
                <w:szCs w:val="20"/>
              </w:rPr>
              <w:t>67</w:t>
            </w:r>
          </w:p>
        </w:tc>
      </w:tr>
      <w:tr>
        <w:tblPrEx>
          <w:tblLayout w:type="fixed"/>
          <w:tblCellMar>
            <w:top w:w="0" w:type="dxa"/>
            <w:left w:w="108" w:type="dxa"/>
            <w:bottom w:w="0" w:type="dxa"/>
            <w:right w:w="108" w:type="dxa"/>
          </w:tblCellMar>
        </w:tblPrEx>
        <w:trPr>
          <w:trHeight w:val="284" w:hRule="atLeast"/>
          <w:jc w:val="center"/>
        </w:trPr>
        <w:tc>
          <w:tcPr>
            <w:tcW w:w="2493"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left"/>
              <w:rPr>
                <w:rFonts w:ascii="Arial" w:hAnsi="Arial" w:eastAsia="宋体" w:cs="Arial"/>
                <w:kern w:val="0"/>
                <w:sz w:val="20"/>
                <w:szCs w:val="20"/>
              </w:rPr>
            </w:pPr>
          </w:p>
        </w:tc>
        <w:tc>
          <w:tcPr>
            <w:tcW w:w="1292"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left"/>
              <w:rPr>
                <w:rFonts w:ascii="Arial" w:hAnsi="Arial" w:eastAsia="宋体" w:cs="Arial"/>
                <w:kern w:val="0"/>
                <w:sz w:val="20"/>
                <w:szCs w:val="20"/>
              </w:rPr>
            </w:pPr>
          </w:p>
        </w:tc>
        <w:tc>
          <w:tcPr>
            <w:tcW w:w="310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left"/>
              <w:rPr>
                <w:rFonts w:ascii="Arial" w:hAnsi="Arial" w:eastAsia="宋体" w:cs="Arial"/>
                <w:kern w:val="0"/>
                <w:sz w:val="20"/>
                <w:szCs w:val="20"/>
              </w:rPr>
            </w:pPr>
            <w:r>
              <w:rPr>
                <w:rFonts w:ascii="Arial" w:hAnsi="Arial" w:eastAsia="宋体" w:cs="Arial"/>
                <w:kern w:val="0"/>
                <w:sz w:val="20"/>
                <w:szCs w:val="20"/>
              </w:rPr>
              <w:t>葡萄牙语</w:t>
            </w:r>
          </w:p>
        </w:tc>
        <w:tc>
          <w:tcPr>
            <w:tcW w:w="1051"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rPr>
                <w:rFonts w:ascii="Arial" w:hAnsi="Arial" w:eastAsia="宋体" w:cs="Arial"/>
                <w:kern w:val="0"/>
                <w:sz w:val="20"/>
                <w:szCs w:val="20"/>
              </w:rPr>
            </w:pPr>
            <w:r>
              <w:rPr>
                <w:rFonts w:ascii="Arial" w:hAnsi="Arial" w:eastAsia="宋体" w:cs="Arial"/>
                <w:kern w:val="0"/>
                <w:sz w:val="20"/>
                <w:szCs w:val="20"/>
              </w:rPr>
              <w:t>7</w:t>
            </w:r>
          </w:p>
        </w:tc>
      </w:tr>
      <w:tr>
        <w:tblPrEx>
          <w:tblLayout w:type="fixed"/>
          <w:tblCellMar>
            <w:top w:w="0" w:type="dxa"/>
            <w:left w:w="108" w:type="dxa"/>
            <w:bottom w:w="0" w:type="dxa"/>
            <w:right w:w="108" w:type="dxa"/>
          </w:tblCellMar>
        </w:tblPrEx>
        <w:trPr>
          <w:trHeight w:val="284" w:hRule="atLeast"/>
          <w:jc w:val="center"/>
        </w:trPr>
        <w:tc>
          <w:tcPr>
            <w:tcW w:w="2493"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left"/>
              <w:rPr>
                <w:rFonts w:ascii="Arial" w:hAnsi="Arial" w:eastAsia="宋体" w:cs="Arial"/>
                <w:kern w:val="0"/>
                <w:sz w:val="20"/>
                <w:szCs w:val="20"/>
              </w:rPr>
            </w:pPr>
          </w:p>
        </w:tc>
        <w:tc>
          <w:tcPr>
            <w:tcW w:w="1292"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left"/>
              <w:rPr>
                <w:rFonts w:ascii="Arial" w:hAnsi="Arial" w:eastAsia="宋体" w:cs="Arial"/>
                <w:kern w:val="0"/>
                <w:sz w:val="20"/>
                <w:szCs w:val="20"/>
              </w:rPr>
            </w:pPr>
          </w:p>
        </w:tc>
        <w:tc>
          <w:tcPr>
            <w:tcW w:w="310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left"/>
              <w:rPr>
                <w:rFonts w:ascii="Arial" w:hAnsi="Arial" w:eastAsia="宋体" w:cs="Arial"/>
                <w:kern w:val="0"/>
                <w:sz w:val="20"/>
                <w:szCs w:val="20"/>
              </w:rPr>
            </w:pPr>
            <w:r>
              <w:rPr>
                <w:rFonts w:ascii="Arial" w:hAnsi="Arial" w:eastAsia="宋体" w:cs="Arial"/>
                <w:kern w:val="0"/>
                <w:sz w:val="20"/>
                <w:szCs w:val="20"/>
              </w:rPr>
              <w:t>西班牙语</w:t>
            </w:r>
          </w:p>
        </w:tc>
        <w:tc>
          <w:tcPr>
            <w:tcW w:w="1051"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13</w:t>
            </w:r>
          </w:p>
        </w:tc>
      </w:tr>
      <w:tr>
        <w:tblPrEx>
          <w:tblLayout w:type="fixed"/>
          <w:tblCellMar>
            <w:top w:w="0" w:type="dxa"/>
            <w:left w:w="108" w:type="dxa"/>
            <w:bottom w:w="0" w:type="dxa"/>
            <w:right w:w="108" w:type="dxa"/>
          </w:tblCellMar>
        </w:tblPrEx>
        <w:trPr>
          <w:trHeight w:val="284" w:hRule="atLeast"/>
          <w:jc w:val="center"/>
        </w:trPr>
        <w:tc>
          <w:tcPr>
            <w:tcW w:w="2493"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left"/>
              <w:rPr>
                <w:rFonts w:ascii="Arial" w:hAnsi="Arial" w:eastAsia="宋体" w:cs="Arial"/>
                <w:kern w:val="0"/>
                <w:sz w:val="20"/>
                <w:szCs w:val="20"/>
              </w:rPr>
            </w:pPr>
          </w:p>
        </w:tc>
        <w:tc>
          <w:tcPr>
            <w:tcW w:w="1292"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left"/>
              <w:rPr>
                <w:rFonts w:ascii="Arial" w:hAnsi="Arial" w:eastAsia="宋体" w:cs="Arial"/>
                <w:kern w:val="0"/>
                <w:sz w:val="20"/>
                <w:szCs w:val="20"/>
              </w:rPr>
            </w:pPr>
          </w:p>
        </w:tc>
        <w:tc>
          <w:tcPr>
            <w:tcW w:w="310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left"/>
              <w:rPr>
                <w:rFonts w:ascii="Arial" w:hAnsi="Arial" w:eastAsia="宋体" w:cs="Arial"/>
                <w:kern w:val="0"/>
                <w:sz w:val="20"/>
                <w:szCs w:val="20"/>
              </w:rPr>
            </w:pPr>
            <w:r>
              <w:rPr>
                <w:rFonts w:ascii="Arial" w:hAnsi="Arial" w:eastAsia="宋体" w:cs="Arial"/>
                <w:kern w:val="0"/>
                <w:sz w:val="20"/>
                <w:szCs w:val="20"/>
              </w:rPr>
              <w:t>英语</w:t>
            </w:r>
          </w:p>
        </w:tc>
        <w:tc>
          <w:tcPr>
            <w:tcW w:w="1051"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29</w:t>
            </w:r>
          </w:p>
        </w:tc>
      </w:tr>
      <w:tr>
        <w:tblPrEx>
          <w:tblLayout w:type="fixed"/>
          <w:tblCellMar>
            <w:top w:w="0" w:type="dxa"/>
            <w:left w:w="108" w:type="dxa"/>
            <w:bottom w:w="0" w:type="dxa"/>
            <w:right w:w="108" w:type="dxa"/>
          </w:tblCellMar>
        </w:tblPrEx>
        <w:trPr>
          <w:trHeight w:val="284" w:hRule="atLeast"/>
          <w:jc w:val="center"/>
        </w:trPr>
        <w:tc>
          <w:tcPr>
            <w:tcW w:w="2493"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舞蹈艺术学院</w:t>
            </w:r>
          </w:p>
        </w:tc>
        <w:tc>
          <w:tcPr>
            <w:tcW w:w="1292"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32</w:t>
            </w:r>
          </w:p>
        </w:tc>
        <w:tc>
          <w:tcPr>
            <w:tcW w:w="310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left"/>
              <w:rPr>
                <w:rFonts w:ascii="Arial" w:hAnsi="Arial" w:eastAsia="宋体" w:cs="Arial"/>
                <w:kern w:val="0"/>
                <w:sz w:val="20"/>
                <w:szCs w:val="20"/>
              </w:rPr>
            </w:pPr>
            <w:r>
              <w:rPr>
                <w:rFonts w:ascii="Arial" w:hAnsi="Arial" w:eastAsia="宋体" w:cs="Arial"/>
                <w:kern w:val="0"/>
                <w:sz w:val="20"/>
                <w:szCs w:val="20"/>
              </w:rPr>
              <w:t>舞蹈编导</w:t>
            </w:r>
          </w:p>
        </w:tc>
        <w:tc>
          <w:tcPr>
            <w:tcW w:w="1051"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rPr>
                <w:rFonts w:ascii="Arial" w:hAnsi="Arial" w:eastAsia="宋体" w:cs="Arial"/>
                <w:kern w:val="0"/>
                <w:sz w:val="20"/>
                <w:szCs w:val="20"/>
              </w:rPr>
            </w:pPr>
            <w:r>
              <w:rPr>
                <w:rFonts w:ascii="Arial" w:hAnsi="Arial" w:eastAsia="宋体" w:cs="Arial"/>
                <w:kern w:val="0"/>
                <w:sz w:val="20"/>
                <w:szCs w:val="20"/>
              </w:rPr>
              <w:t>32</w:t>
            </w:r>
          </w:p>
        </w:tc>
      </w:tr>
      <w:tr>
        <w:tblPrEx>
          <w:tblLayout w:type="fixed"/>
          <w:tblCellMar>
            <w:top w:w="0" w:type="dxa"/>
            <w:left w:w="108" w:type="dxa"/>
            <w:bottom w:w="0" w:type="dxa"/>
            <w:right w:w="108" w:type="dxa"/>
          </w:tblCellMar>
        </w:tblPrEx>
        <w:trPr>
          <w:trHeight w:val="284" w:hRule="atLeast"/>
          <w:jc w:val="center"/>
        </w:trPr>
        <w:tc>
          <w:tcPr>
            <w:tcW w:w="2493" w:type="dxa"/>
            <w:vMerge w:val="restart"/>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新闻传播学院</w:t>
            </w:r>
          </w:p>
        </w:tc>
        <w:tc>
          <w:tcPr>
            <w:tcW w:w="1292" w:type="dxa"/>
            <w:vMerge w:val="restart"/>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837</w:t>
            </w:r>
          </w:p>
        </w:tc>
        <w:tc>
          <w:tcPr>
            <w:tcW w:w="310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left"/>
              <w:rPr>
                <w:rFonts w:ascii="Arial" w:hAnsi="Arial" w:eastAsia="宋体" w:cs="Arial"/>
                <w:kern w:val="0"/>
                <w:sz w:val="20"/>
                <w:szCs w:val="20"/>
              </w:rPr>
            </w:pPr>
            <w:r>
              <w:rPr>
                <w:rFonts w:ascii="Arial" w:hAnsi="Arial" w:eastAsia="宋体" w:cs="Arial"/>
                <w:kern w:val="0"/>
                <w:sz w:val="20"/>
                <w:szCs w:val="20"/>
              </w:rPr>
              <w:t>编辑出版学</w:t>
            </w:r>
          </w:p>
        </w:tc>
        <w:tc>
          <w:tcPr>
            <w:tcW w:w="1051"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rPr>
                <w:rFonts w:ascii="Arial" w:hAnsi="Arial" w:eastAsia="宋体" w:cs="Arial"/>
                <w:kern w:val="0"/>
                <w:sz w:val="20"/>
                <w:szCs w:val="20"/>
              </w:rPr>
            </w:pPr>
            <w:r>
              <w:rPr>
                <w:rFonts w:ascii="Arial" w:hAnsi="Arial" w:eastAsia="宋体" w:cs="Arial"/>
                <w:kern w:val="0"/>
                <w:sz w:val="20"/>
                <w:szCs w:val="20"/>
              </w:rPr>
              <w:t>34</w:t>
            </w:r>
          </w:p>
        </w:tc>
      </w:tr>
      <w:tr>
        <w:tblPrEx>
          <w:tblLayout w:type="fixed"/>
          <w:tblCellMar>
            <w:top w:w="0" w:type="dxa"/>
            <w:left w:w="108" w:type="dxa"/>
            <w:bottom w:w="0" w:type="dxa"/>
            <w:right w:w="108" w:type="dxa"/>
          </w:tblCellMar>
        </w:tblPrEx>
        <w:trPr>
          <w:trHeight w:val="284" w:hRule="atLeast"/>
          <w:jc w:val="center"/>
        </w:trPr>
        <w:tc>
          <w:tcPr>
            <w:tcW w:w="2493"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left"/>
              <w:rPr>
                <w:rFonts w:ascii="Arial" w:hAnsi="Arial" w:eastAsia="宋体" w:cs="Arial"/>
                <w:kern w:val="0"/>
                <w:sz w:val="20"/>
                <w:szCs w:val="20"/>
              </w:rPr>
            </w:pPr>
          </w:p>
        </w:tc>
        <w:tc>
          <w:tcPr>
            <w:tcW w:w="1292"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left"/>
              <w:rPr>
                <w:rFonts w:ascii="Arial" w:hAnsi="Arial" w:eastAsia="宋体" w:cs="Arial"/>
                <w:kern w:val="0"/>
                <w:sz w:val="20"/>
                <w:szCs w:val="20"/>
              </w:rPr>
            </w:pPr>
          </w:p>
        </w:tc>
        <w:tc>
          <w:tcPr>
            <w:tcW w:w="310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left"/>
              <w:rPr>
                <w:rFonts w:ascii="Arial" w:hAnsi="Arial" w:eastAsia="宋体" w:cs="Arial"/>
                <w:kern w:val="0"/>
                <w:sz w:val="20"/>
                <w:szCs w:val="20"/>
              </w:rPr>
            </w:pPr>
            <w:r>
              <w:rPr>
                <w:rFonts w:ascii="Arial" w:hAnsi="Arial" w:eastAsia="宋体" w:cs="Arial"/>
                <w:kern w:val="0"/>
                <w:sz w:val="20"/>
                <w:szCs w:val="20"/>
              </w:rPr>
              <w:t>表演(播音与主持艺术)</w:t>
            </w:r>
          </w:p>
        </w:tc>
        <w:tc>
          <w:tcPr>
            <w:tcW w:w="1051"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w:t>
            </w:r>
          </w:p>
        </w:tc>
      </w:tr>
      <w:tr>
        <w:tblPrEx>
          <w:tblLayout w:type="fixed"/>
          <w:tblCellMar>
            <w:top w:w="0" w:type="dxa"/>
            <w:left w:w="108" w:type="dxa"/>
            <w:bottom w:w="0" w:type="dxa"/>
            <w:right w:w="108" w:type="dxa"/>
          </w:tblCellMar>
        </w:tblPrEx>
        <w:trPr>
          <w:trHeight w:val="284" w:hRule="atLeast"/>
          <w:jc w:val="center"/>
        </w:trPr>
        <w:tc>
          <w:tcPr>
            <w:tcW w:w="2493"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left"/>
              <w:rPr>
                <w:rFonts w:ascii="Arial" w:hAnsi="Arial" w:eastAsia="宋体" w:cs="Arial"/>
                <w:kern w:val="0"/>
                <w:sz w:val="20"/>
                <w:szCs w:val="20"/>
              </w:rPr>
            </w:pPr>
          </w:p>
        </w:tc>
        <w:tc>
          <w:tcPr>
            <w:tcW w:w="1292"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left"/>
              <w:rPr>
                <w:rFonts w:ascii="Arial" w:hAnsi="Arial" w:eastAsia="宋体" w:cs="Arial"/>
                <w:kern w:val="0"/>
                <w:sz w:val="20"/>
                <w:szCs w:val="20"/>
              </w:rPr>
            </w:pPr>
          </w:p>
        </w:tc>
        <w:tc>
          <w:tcPr>
            <w:tcW w:w="310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left"/>
              <w:rPr>
                <w:rFonts w:ascii="Arial" w:hAnsi="Arial" w:eastAsia="宋体" w:cs="Arial"/>
                <w:kern w:val="0"/>
                <w:sz w:val="20"/>
                <w:szCs w:val="20"/>
              </w:rPr>
            </w:pPr>
            <w:r>
              <w:rPr>
                <w:rFonts w:ascii="Arial" w:hAnsi="Arial" w:eastAsia="宋体" w:cs="Arial"/>
                <w:kern w:val="0"/>
                <w:sz w:val="20"/>
                <w:szCs w:val="20"/>
              </w:rPr>
              <w:t>播音与主持艺术</w:t>
            </w:r>
          </w:p>
        </w:tc>
        <w:tc>
          <w:tcPr>
            <w:tcW w:w="1051"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rPr>
                <w:rFonts w:ascii="Arial" w:hAnsi="Arial" w:eastAsia="宋体" w:cs="Arial"/>
                <w:kern w:val="0"/>
                <w:sz w:val="20"/>
                <w:szCs w:val="20"/>
              </w:rPr>
            </w:pPr>
            <w:r>
              <w:rPr>
                <w:rFonts w:ascii="Arial" w:hAnsi="Arial" w:eastAsia="宋体" w:cs="Arial"/>
                <w:kern w:val="0"/>
                <w:sz w:val="20"/>
                <w:szCs w:val="20"/>
              </w:rPr>
              <w:t>637</w:t>
            </w:r>
          </w:p>
        </w:tc>
      </w:tr>
      <w:tr>
        <w:tblPrEx>
          <w:tblLayout w:type="fixed"/>
          <w:tblCellMar>
            <w:top w:w="0" w:type="dxa"/>
            <w:left w:w="108" w:type="dxa"/>
            <w:bottom w:w="0" w:type="dxa"/>
            <w:right w:w="108" w:type="dxa"/>
          </w:tblCellMar>
        </w:tblPrEx>
        <w:trPr>
          <w:trHeight w:val="284" w:hRule="atLeast"/>
          <w:jc w:val="center"/>
        </w:trPr>
        <w:tc>
          <w:tcPr>
            <w:tcW w:w="2493"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left"/>
              <w:rPr>
                <w:rFonts w:ascii="Arial" w:hAnsi="Arial" w:eastAsia="宋体" w:cs="Arial"/>
                <w:kern w:val="0"/>
                <w:sz w:val="20"/>
                <w:szCs w:val="20"/>
              </w:rPr>
            </w:pPr>
          </w:p>
        </w:tc>
        <w:tc>
          <w:tcPr>
            <w:tcW w:w="1292"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left"/>
              <w:rPr>
                <w:rFonts w:ascii="Arial" w:hAnsi="Arial" w:eastAsia="宋体" w:cs="Arial"/>
                <w:kern w:val="0"/>
                <w:sz w:val="20"/>
                <w:szCs w:val="20"/>
              </w:rPr>
            </w:pPr>
          </w:p>
        </w:tc>
        <w:tc>
          <w:tcPr>
            <w:tcW w:w="310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left"/>
              <w:rPr>
                <w:rFonts w:ascii="Arial" w:hAnsi="Arial" w:eastAsia="宋体" w:cs="Arial"/>
                <w:kern w:val="0"/>
                <w:sz w:val="20"/>
                <w:szCs w:val="20"/>
              </w:rPr>
            </w:pPr>
            <w:r>
              <w:rPr>
                <w:rFonts w:ascii="Arial" w:hAnsi="Arial" w:eastAsia="宋体" w:cs="Arial"/>
                <w:kern w:val="0"/>
                <w:sz w:val="20"/>
                <w:szCs w:val="20"/>
              </w:rPr>
              <w:t>播音与主持艺术(英汉双语播音)</w:t>
            </w:r>
          </w:p>
        </w:tc>
        <w:tc>
          <w:tcPr>
            <w:tcW w:w="1051"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rPr>
                <w:rFonts w:ascii="Arial" w:hAnsi="Arial" w:eastAsia="宋体" w:cs="Arial"/>
                <w:kern w:val="0"/>
                <w:sz w:val="20"/>
                <w:szCs w:val="20"/>
              </w:rPr>
            </w:pPr>
            <w:r>
              <w:rPr>
                <w:rFonts w:ascii="Arial" w:hAnsi="Arial" w:eastAsia="宋体" w:cs="Arial"/>
                <w:kern w:val="0"/>
                <w:sz w:val="20"/>
                <w:szCs w:val="20"/>
              </w:rPr>
              <w:t>37</w:t>
            </w:r>
          </w:p>
        </w:tc>
      </w:tr>
      <w:tr>
        <w:tblPrEx>
          <w:tblLayout w:type="fixed"/>
          <w:tblCellMar>
            <w:top w:w="0" w:type="dxa"/>
            <w:left w:w="108" w:type="dxa"/>
            <w:bottom w:w="0" w:type="dxa"/>
            <w:right w:w="108" w:type="dxa"/>
          </w:tblCellMar>
        </w:tblPrEx>
        <w:trPr>
          <w:trHeight w:val="284" w:hRule="atLeast"/>
          <w:jc w:val="center"/>
        </w:trPr>
        <w:tc>
          <w:tcPr>
            <w:tcW w:w="2493"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left"/>
              <w:rPr>
                <w:rFonts w:ascii="Arial" w:hAnsi="Arial" w:eastAsia="宋体" w:cs="Arial"/>
                <w:kern w:val="0"/>
                <w:sz w:val="20"/>
                <w:szCs w:val="20"/>
              </w:rPr>
            </w:pPr>
          </w:p>
        </w:tc>
        <w:tc>
          <w:tcPr>
            <w:tcW w:w="1292"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left"/>
              <w:rPr>
                <w:rFonts w:ascii="Arial" w:hAnsi="Arial" w:eastAsia="宋体" w:cs="Arial"/>
                <w:kern w:val="0"/>
                <w:sz w:val="20"/>
                <w:szCs w:val="20"/>
              </w:rPr>
            </w:pPr>
          </w:p>
        </w:tc>
        <w:tc>
          <w:tcPr>
            <w:tcW w:w="310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left"/>
              <w:rPr>
                <w:rFonts w:ascii="Arial" w:hAnsi="Arial" w:eastAsia="宋体" w:cs="Arial"/>
                <w:kern w:val="0"/>
                <w:sz w:val="20"/>
                <w:szCs w:val="20"/>
              </w:rPr>
            </w:pPr>
            <w:r>
              <w:rPr>
                <w:rFonts w:ascii="Arial" w:hAnsi="Arial" w:eastAsia="宋体" w:cs="Arial"/>
                <w:kern w:val="0"/>
                <w:sz w:val="20"/>
                <w:szCs w:val="20"/>
              </w:rPr>
              <w:t>广播电视学</w:t>
            </w:r>
          </w:p>
        </w:tc>
        <w:tc>
          <w:tcPr>
            <w:tcW w:w="1051"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rPr>
                <w:rFonts w:ascii="Arial" w:hAnsi="Arial" w:eastAsia="宋体" w:cs="Arial"/>
                <w:kern w:val="0"/>
                <w:sz w:val="20"/>
                <w:szCs w:val="20"/>
              </w:rPr>
            </w:pPr>
            <w:r>
              <w:rPr>
                <w:rFonts w:ascii="Arial" w:hAnsi="Arial" w:eastAsia="宋体" w:cs="Arial"/>
                <w:kern w:val="0"/>
                <w:sz w:val="20"/>
                <w:szCs w:val="20"/>
              </w:rPr>
              <w:t>75</w:t>
            </w:r>
          </w:p>
        </w:tc>
      </w:tr>
      <w:tr>
        <w:tblPrEx>
          <w:tblLayout w:type="fixed"/>
          <w:tblCellMar>
            <w:top w:w="0" w:type="dxa"/>
            <w:left w:w="108" w:type="dxa"/>
            <w:bottom w:w="0" w:type="dxa"/>
            <w:right w:w="108" w:type="dxa"/>
          </w:tblCellMar>
        </w:tblPrEx>
        <w:trPr>
          <w:trHeight w:val="284" w:hRule="atLeast"/>
          <w:jc w:val="center"/>
        </w:trPr>
        <w:tc>
          <w:tcPr>
            <w:tcW w:w="2493"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left"/>
              <w:rPr>
                <w:rFonts w:ascii="Arial" w:hAnsi="Arial" w:eastAsia="宋体" w:cs="Arial"/>
                <w:kern w:val="0"/>
                <w:sz w:val="20"/>
                <w:szCs w:val="20"/>
              </w:rPr>
            </w:pPr>
          </w:p>
        </w:tc>
        <w:tc>
          <w:tcPr>
            <w:tcW w:w="1292"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left"/>
              <w:rPr>
                <w:rFonts w:ascii="Arial" w:hAnsi="Arial" w:eastAsia="宋体" w:cs="Arial"/>
                <w:kern w:val="0"/>
                <w:sz w:val="20"/>
                <w:szCs w:val="20"/>
              </w:rPr>
            </w:pPr>
          </w:p>
        </w:tc>
        <w:tc>
          <w:tcPr>
            <w:tcW w:w="310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left"/>
              <w:rPr>
                <w:rFonts w:ascii="Arial" w:hAnsi="Arial" w:eastAsia="宋体" w:cs="Arial"/>
                <w:kern w:val="0"/>
                <w:sz w:val="20"/>
                <w:szCs w:val="20"/>
              </w:rPr>
            </w:pPr>
            <w:r>
              <w:rPr>
                <w:rFonts w:ascii="Arial" w:hAnsi="Arial" w:eastAsia="宋体" w:cs="Arial"/>
                <w:kern w:val="0"/>
                <w:sz w:val="20"/>
                <w:szCs w:val="20"/>
              </w:rPr>
              <w:t>录音艺术(播音方向)</w:t>
            </w:r>
          </w:p>
        </w:tc>
        <w:tc>
          <w:tcPr>
            <w:tcW w:w="1051"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w:t>
            </w:r>
          </w:p>
        </w:tc>
      </w:tr>
      <w:tr>
        <w:tblPrEx>
          <w:tblLayout w:type="fixed"/>
          <w:tblCellMar>
            <w:top w:w="0" w:type="dxa"/>
            <w:left w:w="108" w:type="dxa"/>
            <w:bottom w:w="0" w:type="dxa"/>
            <w:right w:w="108" w:type="dxa"/>
          </w:tblCellMar>
        </w:tblPrEx>
        <w:trPr>
          <w:trHeight w:val="284" w:hRule="atLeast"/>
          <w:jc w:val="center"/>
        </w:trPr>
        <w:tc>
          <w:tcPr>
            <w:tcW w:w="2493"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left"/>
              <w:rPr>
                <w:rFonts w:ascii="Arial" w:hAnsi="Arial" w:eastAsia="宋体" w:cs="Arial"/>
                <w:kern w:val="0"/>
                <w:sz w:val="20"/>
                <w:szCs w:val="20"/>
              </w:rPr>
            </w:pPr>
          </w:p>
        </w:tc>
        <w:tc>
          <w:tcPr>
            <w:tcW w:w="1292"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left"/>
              <w:rPr>
                <w:rFonts w:ascii="Arial" w:hAnsi="Arial" w:eastAsia="宋体" w:cs="Arial"/>
                <w:kern w:val="0"/>
                <w:sz w:val="20"/>
                <w:szCs w:val="20"/>
              </w:rPr>
            </w:pPr>
          </w:p>
        </w:tc>
        <w:tc>
          <w:tcPr>
            <w:tcW w:w="310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left"/>
              <w:rPr>
                <w:rFonts w:ascii="Arial" w:hAnsi="Arial" w:eastAsia="宋体" w:cs="Arial"/>
                <w:kern w:val="0"/>
                <w:sz w:val="20"/>
                <w:szCs w:val="20"/>
              </w:rPr>
            </w:pPr>
            <w:r>
              <w:rPr>
                <w:rFonts w:ascii="Arial" w:hAnsi="Arial" w:eastAsia="宋体" w:cs="Arial"/>
                <w:kern w:val="0"/>
                <w:sz w:val="20"/>
                <w:szCs w:val="20"/>
              </w:rPr>
              <w:t>网络与新媒体</w:t>
            </w:r>
          </w:p>
        </w:tc>
        <w:tc>
          <w:tcPr>
            <w:tcW w:w="1051"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rPr>
                <w:rFonts w:ascii="Arial" w:hAnsi="Arial" w:eastAsia="宋体" w:cs="Arial"/>
                <w:kern w:val="0"/>
                <w:sz w:val="20"/>
                <w:szCs w:val="20"/>
              </w:rPr>
            </w:pPr>
            <w:r>
              <w:rPr>
                <w:rFonts w:ascii="Arial" w:hAnsi="Arial" w:eastAsia="宋体" w:cs="Arial"/>
                <w:kern w:val="0"/>
                <w:sz w:val="20"/>
                <w:szCs w:val="20"/>
              </w:rPr>
              <w:t>52</w:t>
            </w:r>
          </w:p>
        </w:tc>
      </w:tr>
      <w:tr>
        <w:tblPrEx>
          <w:tblLayout w:type="fixed"/>
          <w:tblCellMar>
            <w:top w:w="0" w:type="dxa"/>
            <w:left w:w="108" w:type="dxa"/>
            <w:bottom w:w="0" w:type="dxa"/>
            <w:right w:w="108" w:type="dxa"/>
          </w:tblCellMar>
        </w:tblPrEx>
        <w:trPr>
          <w:trHeight w:val="284" w:hRule="atLeast"/>
          <w:jc w:val="center"/>
        </w:trPr>
        <w:tc>
          <w:tcPr>
            <w:tcW w:w="2493" w:type="dxa"/>
            <w:vMerge w:val="restart"/>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信息技术与文化管理学院</w:t>
            </w:r>
          </w:p>
        </w:tc>
        <w:tc>
          <w:tcPr>
            <w:tcW w:w="1292" w:type="dxa"/>
            <w:vMerge w:val="restart"/>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148</w:t>
            </w:r>
          </w:p>
        </w:tc>
        <w:tc>
          <w:tcPr>
            <w:tcW w:w="310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left"/>
              <w:rPr>
                <w:rFonts w:ascii="Arial" w:hAnsi="Arial" w:eastAsia="宋体" w:cs="Arial"/>
                <w:kern w:val="0"/>
                <w:sz w:val="20"/>
                <w:szCs w:val="20"/>
              </w:rPr>
            </w:pPr>
            <w:r>
              <w:rPr>
                <w:rFonts w:ascii="Arial" w:hAnsi="Arial" w:eastAsia="宋体" w:cs="Arial"/>
                <w:kern w:val="0"/>
                <w:sz w:val="20"/>
                <w:szCs w:val="20"/>
              </w:rPr>
              <w:t>公共事业管理</w:t>
            </w:r>
          </w:p>
        </w:tc>
        <w:tc>
          <w:tcPr>
            <w:tcW w:w="1051"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25</w:t>
            </w:r>
          </w:p>
        </w:tc>
      </w:tr>
      <w:tr>
        <w:tblPrEx>
          <w:tblLayout w:type="fixed"/>
          <w:tblCellMar>
            <w:top w:w="0" w:type="dxa"/>
            <w:left w:w="108" w:type="dxa"/>
            <w:bottom w:w="0" w:type="dxa"/>
            <w:right w:w="108" w:type="dxa"/>
          </w:tblCellMar>
        </w:tblPrEx>
        <w:trPr>
          <w:trHeight w:val="284" w:hRule="atLeast"/>
          <w:jc w:val="center"/>
        </w:trPr>
        <w:tc>
          <w:tcPr>
            <w:tcW w:w="2493"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left"/>
              <w:rPr>
                <w:rFonts w:ascii="Arial" w:hAnsi="Arial" w:eastAsia="宋体" w:cs="Arial"/>
                <w:kern w:val="0"/>
                <w:sz w:val="20"/>
                <w:szCs w:val="20"/>
              </w:rPr>
            </w:pPr>
          </w:p>
        </w:tc>
        <w:tc>
          <w:tcPr>
            <w:tcW w:w="1292"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left"/>
              <w:rPr>
                <w:rFonts w:ascii="Arial" w:hAnsi="Arial" w:eastAsia="宋体" w:cs="Arial"/>
                <w:kern w:val="0"/>
                <w:sz w:val="20"/>
                <w:szCs w:val="20"/>
              </w:rPr>
            </w:pPr>
          </w:p>
        </w:tc>
        <w:tc>
          <w:tcPr>
            <w:tcW w:w="310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left"/>
              <w:rPr>
                <w:rFonts w:ascii="Arial" w:hAnsi="Arial" w:eastAsia="宋体" w:cs="Arial"/>
                <w:kern w:val="0"/>
                <w:sz w:val="20"/>
                <w:szCs w:val="20"/>
              </w:rPr>
            </w:pPr>
            <w:r>
              <w:rPr>
                <w:rFonts w:ascii="Arial" w:hAnsi="Arial" w:eastAsia="宋体" w:cs="Arial"/>
                <w:kern w:val="0"/>
                <w:sz w:val="20"/>
                <w:szCs w:val="20"/>
              </w:rPr>
              <w:t>计算机科学与技术</w:t>
            </w:r>
          </w:p>
        </w:tc>
        <w:tc>
          <w:tcPr>
            <w:tcW w:w="1051"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rPr>
                <w:rFonts w:ascii="Arial" w:hAnsi="Arial" w:eastAsia="宋体" w:cs="Arial"/>
                <w:kern w:val="0"/>
                <w:sz w:val="20"/>
                <w:szCs w:val="20"/>
              </w:rPr>
            </w:pPr>
            <w:r>
              <w:rPr>
                <w:rFonts w:ascii="Arial" w:hAnsi="Arial" w:eastAsia="宋体" w:cs="Arial"/>
                <w:kern w:val="0"/>
                <w:sz w:val="20"/>
                <w:szCs w:val="20"/>
              </w:rPr>
              <w:t>42</w:t>
            </w:r>
          </w:p>
        </w:tc>
      </w:tr>
      <w:tr>
        <w:tblPrEx>
          <w:tblLayout w:type="fixed"/>
          <w:tblCellMar>
            <w:top w:w="0" w:type="dxa"/>
            <w:left w:w="108" w:type="dxa"/>
            <w:bottom w:w="0" w:type="dxa"/>
            <w:right w:w="108" w:type="dxa"/>
          </w:tblCellMar>
        </w:tblPrEx>
        <w:trPr>
          <w:trHeight w:val="284" w:hRule="atLeast"/>
          <w:jc w:val="center"/>
        </w:trPr>
        <w:tc>
          <w:tcPr>
            <w:tcW w:w="2493"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left"/>
              <w:rPr>
                <w:rFonts w:ascii="Arial" w:hAnsi="Arial" w:eastAsia="宋体" w:cs="Arial"/>
                <w:kern w:val="0"/>
                <w:sz w:val="20"/>
                <w:szCs w:val="20"/>
              </w:rPr>
            </w:pPr>
          </w:p>
        </w:tc>
        <w:tc>
          <w:tcPr>
            <w:tcW w:w="1292"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left"/>
              <w:rPr>
                <w:rFonts w:ascii="Arial" w:hAnsi="Arial" w:eastAsia="宋体" w:cs="Arial"/>
                <w:kern w:val="0"/>
                <w:sz w:val="20"/>
                <w:szCs w:val="20"/>
              </w:rPr>
            </w:pPr>
          </w:p>
        </w:tc>
        <w:tc>
          <w:tcPr>
            <w:tcW w:w="310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left"/>
              <w:rPr>
                <w:rFonts w:ascii="Arial" w:hAnsi="Arial" w:eastAsia="宋体" w:cs="Arial"/>
                <w:kern w:val="0"/>
                <w:sz w:val="20"/>
                <w:szCs w:val="20"/>
              </w:rPr>
            </w:pPr>
            <w:r>
              <w:rPr>
                <w:rFonts w:ascii="Arial" w:hAnsi="Arial" w:eastAsia="宋体" w:cs="Arial"/>
                <w:kern w:val="0"/>
                <w:sz w:val="20"/>
                <w:szCs w:val="20"/>
              </w:rPr>
              <w:t>文化产业管理</w:t>
            </w:r>
          </w:p>
        </w:tc>
        <w:tc>
          <w:tcPr>
            <w:tcW w:w="1051"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rPr>
                <w:rFonts w:ascii="Arial" w:hAnsi="Arial" w:eastAsia="宋体" w:cs="Arial"/>
                <w:kern w:val="0"/>
                <w:sz w:val="20"/>
                <w:szCs w:val="20"/>
              </w:rPr>
            </w:pPr>
            <w:r>
              <w:rPr>
                <w:rFonts w:ascii="Arial" w:hAnsi="Arial" w:eastAsia="宋体" w:cs="Arial"/>
                <w:kern w:val="0"/>
                <w:sz w:val="20"/>
                <w:szCs w:val="20"/>
              </w:rPr>
              <w:t>73</w:t>
            </w:r>
          </w:p>
        </w:tc>
      </w:tr>
      <w:tr>
        <w:tblPrEx>
          <w:tblLayout w:type="fixed"/>
          <w:tblCellMar>
            <w:top w:w="0" w:type="dxa"/>
            <w:left w:w="108" w:type="dxa"/>
            <w:bottom w:w="0" w:type="dxa"/>
            <w:right w:w="108" w:type="dxa"/>
          </w:tblCellMar>
        </w:tblPrEx>
        <w:trPr>
          <w:trHeight w:val="284" w:hRule="atLeast"/>
          <w:jc w:val="center"/>
        </w:trPr>
        <w:tc>
          <w:tcPr>
            <w:tcW w:w="2493"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left"/>
              <w:rPr>
                <w:rFonts w:ascii="Arial" w:hAnsi="Arial" w:eastAsia="宋体" w:cs="Arial"/>
                <w:kern w:val="0"/>
                <w:sz w:val="20"/>
                <w:szCs w:val="20"/>
              </w:rPr>
            </w:pPr>
          </w:p>
        </w:tc>
        <w:tc>
          <w:tcPr>
            <w:tcW w:w="1292"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left"/>
              <w:rPr>
                <w:rFonts w:ascii="Arial" w:hAnsi="Arial" w:eastAsia="宋体" w:cs="Arial"/>
                <w:kern w:val="0"/>
                <w:sz w:val="20"/>
                <w:szCs w:val="20"/>
              </w:rPr>
            </w:pPr>
          </w:p>
        </w:tc>
        <w:tc>
          <w:tcPr>
            <w:tcW w:w="310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left"/>
              <w:rPr>
                <w:rFonts w:ascii="Arial" w:hAnsi="Arial" w:eastAsia="宋体" w:cs="Arial"/>
                <w:kern w:val="0"/>
                <w:sz w:val="20"/>
                <w:szCs w:val="20"/>
              </w:rPr>
            </w:pPr>
            <w:r>
              <w:rPr>
                <w:rFonts w:ascii="Arial" w:hAnsi="Arial" w:eastAsia="宋体" w:cs="Arial"/>
                <w:kern w:val="0"/>
                <w:sz w:val="20"/>
                <w:szCs w:val="20"/>
              </w:rPr>
              <w:t>物联网工程</w:t>
            </w:r>
          </w:p>
        </w:tc>
        <w:tc>
          <w:tcPr>
            <w:tcW w:w="1051"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rPr>
                <w:rFonts w:ascii="Arial" w:hAnsi="Arial" w:eastAsia="宋体" w:cs="Arial"/>
                <w:kern w:val="0"/>
                <w:sz w:val="20"/>
                <w:szCs w:val="20"/>
              </w:rPr>
            </w:pPr>
            <w:r>
              <w:rPr>
                <w:rFonts w:ascii="Arial" w:hAnsi="Arial" w:eastAsia="宋体" w:cs="Arial"/>
                <w:kern w:val="0"/>
                <w:sz w:val="20"/>
                <w:szCs w:val="20"/>
              </w:rPr>
              <w:t>8</w:t>
            </w:r>
          </w:p>
        </w:tc>
      </w:tr>
      <w:tr>
        <w:tblPrEx>
          <w:tblLayout w:type="fixed"/>
          <w:tblCellMar>
            <w:top w:w="0" w:type="dxa"/>
            <w:left w:w="108" w:type="dxa"/>
            <w:bottom w:w="0" w:type="dxa"/>
            <w:right w:w="108" w:type="dxa"/>
          </w:tblCellMar>
        </w:tblPrEx>
        <w:trPr>
          <w:trHeight w:val="284" w:hRule="atLeast"/>
          <w:jc w:val="center"/>
        </w:trPr>
        <w:tc>
          <w:tcPr>
            <w:tcW w:w="2493" w:type="dxa"/>
            <w:vMerge w:val="restart"/>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艺术设计学院</w:t>
            </w:r>
          </w:p>
        </w:tc>
        <w:tc>
          <w:tcPr>
            <w:tcW w:w="1292" w:type="dxa"/>
            <w:vMerge w:val="restart"/>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220</w:t>
            </w:r>
          </w:p>
        </w:tc>
        <w:tc>
          <w:tcPr>
            <w:tcW w:w="310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left"/>
              <w:rPr>
                <w:rFonts w:ascii="Arial" w:hAnsi="Arial" w:eastAsia="宋体" w:cs="Arial"/>
                <w:kern w:val="0"/>
                <w:sz w:val="20"/>
                <w:szCs w:val="20"/>
              </w:rPr>
            </w:pPr>
            <w:r>
              <w:rPr>
                <w:rFonts w:ascii="Arial" w:hAnsi="Arial" w:eastAsia="宋体" w:cs="Arial"/>
                <w:kern w:val="0"/>
                <w:sz w:val="20"/>
                <w:szCs w:val="20"/>
              </w:rPr>
              <w:t>广告学</w:t>
            </w:r>
          </w:p>
        </w:tc>
        <w:tc>
          <w:tcPr>
            <w:tcW w:w="1051"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rPr>
                <w:rFonts w:ascii="Arial" w:hAnsi="Arial" w:eastAsia="宋体" w:cs="Arial"/>
                <w:kern w:val="0"/>
                <w:sz w:val="20"/>
                <w:szCs w:val="20"/>
              </w:rPr>
            </w:pPr>
            <w:r>
              <w:rPr>
                <w:rFonts w:ascii="Arial" w:hAnsi="Arial" w:eastAsia="宋体" w:cs="Arial"/>
                <w:kern w:val="0"/>
                <w:sz w:val="20"/>
                <w:szCs w:val="20"/>
              </w:rPr>
              <w:t>47</w:t>
            </w:r>
          </w:p>
        </w:tc>
      </w:tr>
      <w:tr>
        <w:tblPrEx>
          <w:tblLayout w:type="fixed"/>
          <w:tblCellMar>
            <w:top w:w="0" w:type="dxa"/>
            <w:left w:w="108" w:type="dxa"/>
            <w:bottom w:w="0" w:type="dxa"/>
            <w:right w:w="108" w:type="dxa"/>
          </w:tblCellMar>
        </w:tblPrEx>
        <w:trPr>
          <w:trHeight w:val="284" w:hRule="atLeast"/>
          <w:jc w:val="center"/>
        </w:trPr>
        <w:tc>
          <w:tcPr>
            <w:tcW w:w="2493"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left"/>
              <w:rPr>
                <w:rFonts w:ascii="Arial" w:hAnsi="Arial" w:eastAsia="宋体" w:cs="Arial"/>
                <w:kern w:val="0"/>
                <w:sz w:val="20"/>
                <w:szCs w:val="20"/>
              </w:rPr>
            </w:pPr>
          </w:p>
        </w:tc>
        <w:tc>
          <w:tcPr>
            <w:tcW w:w="1292"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left"/>
              <w:rPr>
                <w:rFonts w:ascii="Arial" w:hAnsi="Arial" w:eastAsia="宋体" w:cs="Arial"/>
                <w:kern w:val="0"/>
                <w:sz w:val="20"/>
                <w:szCs w:val="20"/>
              </w:rPr>
            </w:pPr>
          </w:p>
        </w:tc>
        <w:tc>
          <w:tcPr>
            <w:tcW w:w="310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left"/>
              <w:rPr>
                <w:rFonts w:ascii="Arial" w:hAnsi="Arial" w:eastAsia="宋体" w:cs="Arial"/>
                <w:kern w:val="0"/>
                <w:sz w:val="20"/>
                <w:szCs w:val="20"/>
              </w:rPr>
            </w:pPr>
            <w:r>
              <w:rPr>
                <w:rFonts w:ascii="Arial" w:hAnsi="Arial" w:eastAsia="宋体" w:cs="Arial"/>
                <w:kern w:val="0"/>
                <w:sz w:val="20"/>
                <w:szCs w:val="20"/>
              </w:rPr>
              <w:t>环境设计</w:t>
            </w:r>
          </w:p>
        </w:tc>
        <w:tc>
          <w:tcPr>
            <w:tcW w:w="1051"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rPr>
                <w:rFonts w:ascii="Arial" w:hAnsi="Arial" w:eastAsia="宋体" w:cs="Arial"/>
                <w:kern w:val="0"/>
                <w:sz w:val="20"/>
                <w:szCs w:val="20"/>
              </w:rPr>
            </w:pPr>
            <w:r>
              <w:rPr>
                <w:rFonts w:ascii="Arial" w:hAnsi="Arial" w:eastAsia="宋体" w:cs="Arial"/>
                <w:kern w:val="0"/>
                <w:sz w:val="20"/>
                <w:szCs w:val="20"/>
              </w:rPr>
              <w:t>89</w:t>
            </w:r>
          </w:p>
        </w:tc>
      </w:tr>
      <w:tr>
        <w:tblPrEx>
          <w:tblLayout w:type="fixed"/>
          <w:tblCellMar>
            <w:top w:w="0" w:type="dxa"/>
            <w:left w:w="108" w:type="dxa"/>
            <w:bottom w:w="0" w:type="dxa"/>
            <w:right w:w="108" w:type="dxa"/>
          </w:tblCellMar>
        </w:tblPrEx>
        <w:trPr>
          <w:trHeight w:val="284" w:hRule="atLeast"/>
          <w:jc w:val="center"/>
        </w:trPr>
        <w:tc>
          <w:tcPr>
            <w:tcW w:w="2493"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left"/>
              <w:rPr>
                <w:rFonts w:ascii="Arial" w:hAnsi="Arial" w:eastAsia="宋体" w:cs="Arial"/>
                <w:kern w:val="0"/>
                <w:sz w:val="20"/>
                <w:szCs w:val="20"/>
              </w:rPr>
            </w:pPr>
          </w:p>
        </w:tc>
        <w:tc>
          <w:tcPr>
            <w:tcW w:w="1292"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left"/>
              <w:rPr>
                <w:rFonts w:ascii="Arial" w:hAnsi="Arial" w:eastAsia="宋体" w:cs="Arial"/>
                <w:kern w:val="0"/>
                <w:sz w:val="20"/>
                <w:szCs w:val="20"/>
              </w:rPr>
            </w:pPr>
          </w:p>
        </w:tc>
        <w:tc>
          <w:tcPr>
            <w:tcW w:w="310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left"/>
              <w:rPr>
                <w:rFonts w:ascii="Arial" w:hAnsi="Arial" w:eastAsia="宋体" w:cs="Arial"/>
                <w:kern w:val="0"/>
                <w:sz w:val="20"/>
                <w:szCs w:val="20"/>
              </w:rPr>
            </w:pPr>
            <w:r>
              <w:rPr>
                <w:rFonts w:ascii="Arial" w:hAnsi="Arial" w:eastAsia="宋体" w:cs="Arial"/>
                <w:kern w:val="0"/>
                <w:sz w:val="20"/>
                <w:szCs w:val="20"/>
              </w:rPr>
              <w:t>视觉传达设计</w:t>
            </w:r>
          </w:p>
        </w:tc>
        <w:tc>
          <w:tcPr>
            <w:tcW w:w="1051"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rPr>
                <w:rFonts w:ascii="Arial" w:hAnsi="Arial" w:eastAsia="宋体" w:cs="Arial"/>
                <w:kern w:val="0"/>
                <w:sz w:val="20"/>
                <w:szCs w:val="20"/>
              </w:rPr>
            </w:pPr>
            <w:r>
              <w:rPr>
                <w:rFonts w:ascii="Arial" w:hAnsi="Arial" w:eastAsia="宋体" w:cs="Arial"/>
                <w:kern w:val="0"/>
                <w:sz w:val="20"/>
                <w:szCs w:val="20"/>
              </w:rPr>
              <w:t>62</w:t>
            </w:r>
          </w:p>
        </w:tc>
      </w:tr>
      <w:tr>
        <w:tblPrEx>
          <w:tblLayout w:type="fixed"/>
          <w:tblCellMar>
            <w:top w:w="0" w:type="dxa"/>
            <w:left w:w="108" w:type="dxa"/>
            <w:bottom w:w="0" w:type="dxa"/>
            <w:right w:w="108" w:type="dxa"/>
          </w:tblCellMar>
        </w:tblPrEx>
        <w:trPr>
          <w:trHeight w:val="284" w:hRule="atLeast"/>
          <w:jc w:val="center"/>
        </w:trPr>
        <w:tc>
          <w:tcPr>
            <w:tcW w:w="2493"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left"/>
              <w:rPr>
                <w:rFonts w:ascii="Arial" w:hAnsi="Arial" w:eastAsia="宋体" w:cs="Arial"/>
                <w:kern w:val="0"/>
                <w:sz w:val="20"/>
                <w:szCs w:val="20"/>
              </w:rPr>
            </w:pPr>
          </w:p>
        </w:tc>
        <w:tc>
          <w:tcPr>
            <w:tcW w:w="1292"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left"/>
              <w:rPr>
                <w:rFonts w:ascii="Arial" w:hAnsi="Arial" w:eastAsia="宋体" w:cs="Arial"/>
                <w:kern w:val="0"/>
                <w:sz w:val="20"/>
                <w:szCs w:val="20"/>
              </w:rPr>
            </w:pPr>
          </w:p>
        </w:tc>
        <w:tc>
          <w:tcPr>
            <w:tcW w:w="310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left"/>
              <w:rPr>
                <w:rFonts w:ascii="Arial" w:hAnsi="Arial" w:eastAsia="宋体" w:cs="Arial"/>
                <w:kern w:val="0"/>
                <w:sz w:val="20"/>
                <w:szCs w:val="20"/>
              </w:rPr>
            </w:pPr>
            <w:r>
              <w:rPr>
                <w:rFonts w:ascii="Arial" w:hAnsi="Arial" w:eastAsia="宋体" w:cs="Arial"/>
                <w:kern w:val="0"/>
                <w:sz w:val="20"/>
                <w:szCs w:val="20"/>
              </w:rPr>
              <w:t>戏剧影视美术设计</w:t>
            </w:r>
          </w:p>
        </w:tc>
        <w:tc>
          <w:tcPr>
            <w:tcW w:w="1051"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w:t>
            </w:r>
          </w:p>
        </w:tc>
      </w:tr>
      <w:tr>
        <w:tblPrEx>
          <w:tblLayout w:type="fixed"/>
          <w:tblCellMar>
            <w:top w:w="0" w:type="dxa"/>
            <w:left w:w="108" w:type="dxa"/>
            <w:bottom w:w="0" w:type="dxa"/>
            <w:right w:w="108" w:type="dxa"/>
          </w:tblCellMar>
        </w:tblPrEx>
        <w:trPr>
          <w:trHeight w:val="284" w:hRule="atLeast"/>
          <w:jc w:val="center"/>
        </w:trPr>
        <w:tc>
          <w:tcPr>
            <w:tcW w:w="2493"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left"/>
              <w:rPr>
                <w:rFonts w:ascii="Arial" w:hAnsi="Arial" w:eastAsia="宋体" w:cs="Arial"/>
                <w:kern w:val="0"/>
                <w:sz w:val="20"/>
                <w:szCs w:val="20"/>
              </w:rPr>
            </w:pPr>
          </w:p>
        </w:tc>
        <w:tc>
          <w:tcPr>
            <w:tcW w:w="1292"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left"/>
              <w:rPr>
                <w:rFonts w:ascii="Arial" w:hAnsi="Arial" w:eastAsia="宋体" w:cs="Arial"/>
                <w:kern w:val="0"/>
                <w:sz w:val="20"/>
                <w:szCs w:val="20"/>
              </w:rPr>
            </w:pPr>
          </w:p>
        </w:tc>
        <w:tc>
          <w:tcPr>
            <w:tcW w:w="310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left"/>
              <w:rPr>
                <w:rFonts w:ascii="Arial" w:hAnsi="Arial" w:eastAsia="宋体" w:cs="Arial"/>
                <w:kern w:val="0"/>
                <w:sz w:val="20"/>
                <w:szCs w:val="20"/>
              </w:rPr>
            </w:pPr>
            <w:r>
              <w:rPr>
                <w:rFonts w:ascii="Arial" w:hAnsi="Arial" w:eastAsia="宋体" w:cs="Arial"/>
                <w:kern w:val="0"/>
                <w:sz w:val="20"/>
                <w:szCs w:val="20"/>
              </w:rPr>
              <w:t>艺术设计</w:t>
            </w:r>
          </w:p>
        </w:tc>
        <w:tc>
          <w:tcPr>
            <w:tcW w:w="1051"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w:t>
            </w:r>
          </w:p>
        </w:tc>
      </w:tr>
      <w:tr>
        <w:tblPrEx>
          <w:tblLayout w:type="fixed"/>
          <w:tblCellMar>
            <w:top w:w="0" w:type="dxa"/>
            <w:left w:w="108" w:type="dxa"/>
            <w:bottom w:w="0" w:type="dxa"/>
            <w:right w:w="108" w:type="dxa"/>
          </w:tblCellMar>
        </w:tblPrEx>
        <w:trPr>
          <w:trHeight w:val="284" w:hRule="atLeast"/>
          <w:jc w:val="center"/>
        </w:trPr>
        <w:tc>
          <w:tcPr>
            <w:tcW w:w="2493" w:type="dxa"/>
            <w:vMerge w:val="restart"/>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艺术体育学院</w:t>
            </w:r>
          </w:p>
        </w:tc>
        <w:tc>
          <w:tcPr>
            <w:tcW w:w="1292" w:type="dxa"/>
            <w:vMerge w:val="restart"/>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117</w:t>
            </w:r>
          </w:p>
        </w:tc>
        <w:tc>
          <w:tcPr>
            <w:tcW w:w="310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left"/>
              <w:rPr>
                <w:rFonts w:ascii="Arial" w:hAnsi="Arial" w:eastAsia="宋体" w:cs="Arial"/>
                <w:kern w:val="0"/>
                <w:sz w:val="20"/>
                <w:szCs w:val="20"/>
              </w:rPr>
            </w:pPr>
            <w:r>
              <w:rPr>
                <w:rFonts w:ascii="Arial" w:hAnsi="Arial" w:eastAsia="宋体" w:cs="Arial"/>
                <w:kern w:val="0"/>
                <w:sz w:val="20"/>
                <w:szCs w:val="20"/>
              </w:rPr>
              <w:t>表演</w:t>
            </w:r>
          </w:p>
        </w:tc>
        <w:tc>
          <w:tcPr>
            <w:tcW w:w="1051"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rPr>
                <w:rFonts w:ascii="Arial" w:hAnsi="Arial" w:eastAsia="宋体" w:cs="Arial"/>
                <w:kern w:val="0"/>
                <w:sz w:val="20"/>
                <w:szCs w:val="20"/>
              </w:rPr>
            </w:pPr>
            <w:r>
              <w:rPr>
                <w:rFonts w:ascii="Arial" w:hAnsi="Arial" w:eastAsia="宋体" w:cs="Arial"/>
                <w:kern w:val="0"/>
                <w:sz w:val="20"/>
                <w:szCs w:val="20"/>
              </w:rPr>
              <w:t>32</w:t>
            </w:r>
          </w:p>
        </w:tc>
      </w:tr>
      <w:tr>
        <w:tblPrEx>
          <w:tblLayout w:type="fixed"/>
          <w:tblCellMar>
            <w:top w:w="0" w:type="dxa"/>
            <w:left w:w="108" w:type="dxa"/>
            <w:bottom w:w="0" w:type="dxa"/>
            <w:right w:w="108" w:type="dxa"/>
          </w:tblCellMar>
        </w:tblPrEx>
        <w:trPr>
          <w:trHeight w:val="284" w:hRule="atLeast"/>
          <w:jc w:val="center"/>
        </w:trPr>
        <w:tc>
          <w:tcPr>
            <w:tcW w:w="2493"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left"/>
              <w:rPr>
                <w:rFonts w:ascii="Arial" w:hAnsi="Arial" w:eastAsia="宋体" w:cs="Arial"/>
                <w:kern w:val="0"/>
                <w:sz w:val="20"/>
                <w:szCs w:val="20"/>
              </w:rPr>
            </w:pPr>
          </w:p>
        </w:tc>
        <w:tc>
          <w:tcPr>
            <w:tcW w:w="1292"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left"/>
              <w:rPr>
                <w:rFonts w:ascii="Arial" w:hAnsi="Arial" w:eastAsia="宋体" w:cs="Arial"/>
                <w:kern w:val="0"/>
                <w:sz w:val="20"/>
                <w:szCs w:val="20"/>
              </w:rPr>
            </w:pPr>
          </w:p>
        </w:tc>
        <w:tc>
          <w:tcPr>
            <w:tcW w:w="310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left"/>
              <w:rPr>
                <w:rFonts w:ascii="Arial" w:hAnsi="Arial" w:eastAsia="宋体" w:cs="Arial"/>
                <w:kern w:val="0"/>
                <w:sz w:val="20"/>
                <w:szCs w:val="20"/>
              </w:rPr>
            </w:pPr>
            <w:r>
              <w:rPr>
                <w:rFonts w:ascii="Arial" w:hAnsi="Arial" w:eastAsia="宋体" w:cs="Arial"/>
                <w:kern w:val="0"/>
                <w:sz w:val="20"/>
                <w:szCs w:val="20"/>
              </w:rPr>
              <w:t>表演(体育表演)</w:t>
            </w:r>
          </w:p>
        </w:tc>
        <w:tc>
          <w:tcPr>
            <w:tcW w:w="1051"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rPr>
                <w:rFonts w:ascii="Arial" w:hAnsi="Arial" w:eastAsia="宋体" w:cs="Arial"/>
                <w:kern w:val="0"/>
                <w:sz w:val="20"/>
                <w:szCs w:val="20"/>
              </w:rPr>
            </w:pPr>
            <w:r>
              <w:rPr>
                <w:rFonts w:ascii="Arial" w:hAnsi="Arial" w:eastAsia="宋体" w:cs="Arial"/>
                <w:kern w:val="0"/>
                <w:sz w:val="20"/>
                <w:szCs w:val="20"/>
              </w:rPr>
              <w:t>58</w:t>
            </w:r>
          </w:p>
        </w:tc>
      </w:tr>
      <w:tr>
        <w:tblPrEx>
          <w:tblLayout w:type="fixed"/>
          <w:tblCellMar>
            <w:top w:w="0" w:type="dxa"/>
            <w:left w:w="108" w:type="dxa"/>
            <w:bottom w:w="0" w:type="dxa"/>
            <w:right w:w="108" w:type="dxa"/>
          </w:tblCellMar>
        </w:tblPrEx>
        <w:trPr>
          <w:trHeight w:val="284" w:hRule="atLeast"/>
          <w:jc w:val="center"/>
        </w:trPr>
        <w:tc>
          <w:tcPr>
            <w:tcW w:w="2493"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left"/>
              <w:rPr>
                <w:rFonts w:ascii="Arial" w:hAnsi="Arial" w:eastAsia="宋体" w:cs="Arial"/>
                <w:kern w:val="0"/>
                <w:sz w:val="20"/>
                <w:szCs w:val="20"/>
              </w:rPr>
            </w:pPr>
          </w:p>
        </w:tc>
        <w:tc>
          <w:tcPr>
            <w:tcW w:w="1292"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left"/>
              <w:rPr>
                <w:rFonts w:ascii="Arial" w:hAnsi="Arial" w:eastAsia="宋体" w:cs="Arial"/>
                <w:kern w:val="0"/>
                <w:sz w:val="20"/>
                <w:szCs w:val="20"/>
              </w:rPr>
            </w:pPr>
          </w:p>
        </w:tc>
        <w:tc>
          <w:tcPr>
            <w:tcW w:w="310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left"/>
              <w:rPr>
                <w:rFonts w:ascii="Arial" w:hAnsi="Arial" w:eastAsia="宋体" w:cs="Arial"/>
                <w:kern w:val="0"/>
                <w:sz w:val="20"/>
                <w:szCs w:val="20"/>
              </w:rPr>
            </w:pPr>
            <w:r>
              <w:rPr>
                <w:rFonts w:ascii="Arial" w:hAnsi="Arial" w:eastAsia="宋体" w:cs="Arial"/>
                <w:kern w:val="0"/>
                <w:sz w:val="20"/>
                <w:szCs w:val="20"/>
              </w:rPr>
              <w:t>休闲体育</w:t>
            </w:r>
          </w:p>
        </w:tc>
        <w:tc>
          <w:tcPr>
            <w:tcW w:w="1051"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27</w:t>
            </w:r>
          </w:p>
        </w:tc>
      </w:tr>
      <w:tr>
        <w:tblPrEx>
          <w:tblLayout w:type="fixed"/>
          <w:tblCellMar>
            <w:top w:w="0" w:type="dxa"/>
            <w:left w:w="108" w:type="dxa"/>
            <w:bottom w:w="0" w:type="dxa"/>
            <w:right w:w="108" w:type="dxa"/>
          </w:tblCellMar>
        </w:tblPrEx>
        <w:trPr>
          <w:trHeight w:val="284" w:hRule="atLeast"/>
          <w:jc w:val="center"/>
        </w:trPr>
        <w:tc>
          <w:tcPr>
            <w:tcW w:w="2493" w:type="dxa"/>
            <w:vMerge w:val="restart"/>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影视艺术学院</w:t>
            </w:r>
          </w:p>
        </w:tc>
        <w:tc>
          <w:tcPr>
            <w:tcW w:w="1292" w:type="dxa"/>
            <w:vMerge w:val="restart"/>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1345</w:t>
            </w:r>
          </w:p>
        </w:tc>
        <w:tc>
          <w:tcPr>
            <w:tcW w:w="310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left"/>
              <w:rPr>
                <w:rFonts w:ascii="Arial" w:hAnsi="Arial" w:eastAsia="宋体" w:cs="Arial"/>
                <w:kern w:val="0"/>
                <w:sz w:val="20"/>
                <w:szCs w:val="20"/>
              </w:rPr>
            </w:pPr>
            <w:r>
              <w:rPr>
                <w:rFonts w:ascii="Arial" w:hAnsi="Arial" w:eastAsia="宋体" w:cs="Arial"/>
                <w:kern w:val="0"/>
                <w:sz w:val="20"/>
                <w:szCs w:val="20"/>
              </w:rPr>
              <w:t>广播电视编导</w:t>
            </w:r>
          </w:p>
        </w:tc>
        <w:tc>
          <w:tcPr>
            <w:tcW w:w="1051"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rPr>
                <w:rFonts w:ascii="Arial" w:hAnsi="Arial" w:eastAsia="宋体" w:cs="Arial"/>
                <w:kern w:val="0"/>
                <w:sz w:val="20"/>
                <w:szCs w:val="20"/>
              </w:rPr>
            </w:pPr>
            <w:r>
              <w:rPr>
                <w:rFonts w:ascii="Arial" w:hAnsi="Arial" w:eastAsia="宋体" w:cs="Arial"/>
                <w:kern w:val="0"/>
                <w:sz w:val="20"/>
                <w:szCs w:val="20"/>
              </w:rPr>
              <w:t>854</w:t>
            </w:r>
          </w:p>
        </w:tc>
      </w:tr>
      <w:tr>
        <w:tblPrEx>
          <w:tblLayout w:type="fixed"/>
          <w:tblCellMar>
            <w:top w:w="0" w:type="dxa"/>
            <w:left w:w="108" w:type="dxa"/>
            <w:bottom w:w="0" w:type="dxa"/>
            <w:right w:w="108" w:type="dxa"/>
          </w:tblCellMar>
        </w:tblPrEx>
        <w:trPr>
          <w:trHeight w:val="284" w:hRule="atLeast"/>
          <w:jc w:val="center"/>
        </w:trPr>
        <w:tc>
          <w:tcPr>
            <w:tcW w:w="2493"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left"/>
              <w:rPr>
                <w:rFonts w:ascii="Arial" w:hAnsi="Arial" w:eastAsia="宋体" w:cs="Arial"/>
                <w:kern w:val="0"/>
                <w:sz w:val="20"/>
                <w:szCs w:val="20"/>
              </w:rPr>
            </w:pPr>
          </w:p>
        </w:tc>
        <w:tc>
          <w:tcPr>
            <w:tcW w:w="1292"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left"/>
              <w:rPr>
                <w:rFonts w:ascii="Arial" w:hAnsi="Arial" w:eastAsia="宋体" w:cs="Arial"/>
                <w:kern w:val="0"/>
                <w:sz w:val="20"/>
                <w:szCs w:val="20"/>
              </w:rPr>
            </w:pPr>
          </w:p>
        </w:tc>
        <w:tc>
          <w:tcPr>
            <w:tcW w:w="310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left"/>
              <w:rPr>
                <w:rFonts w:ascii="Arial" w:hAnsi="Arial" w:eastAsia="宋体" w:cs="Arial"/>
                <w:kern w:val="0"/>
                <w:sz w:val="20"/>
                <w:szCs w:val="20"/>
              </w:rPr>
            </w:pPr>
            <w:r>
              <w:rPr>
                <w:rFonts w:ascii="Arial" w:hAnsi="Arial" w:eastAsia="宋体" w:cs="Arial"/>
                <w:kern w:val="0"/>
                <w:sz w:val="20"/>
                <w:szCs w:val="20"/>
              </w:rPr>
              <w:t>录音艺术</w:t>
            </w:r>
          </w:p>
        </w:tc>
        <w:tc>
          <w:tcPr>
            <w:tcW w:w="1051"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24</w:t>
            </w:r>
          </w:p>
        </w:tc>
      </w:tr>
      <w:tr>
        <w:tblPrEx>
          <w:tblLayout w:type="fixed"/>
          <w:tblCellMar>
            <w:top w:w="0" w:type="dxa"/>
            <w:left w:w="108" w:type="dxa"/>
            <w:bottom w:w="0" w:type="dxa"/>
            <w:right w:w="108" w:type="dxa"/>
          </w:tblCellMar>
        </w:tblPrEx>
        <w:trPr>
          <w:trHeight w:val="284" w:hRule="atLeast"/>
          <w:jc w:val="center"/>
        </w:trPr>
        <w:tc>
          <w:tcPr>
            <w:tcW w:w="2493"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left"/>
              <w:rPr>
                <w:rFonts w:ascii="Arial" w:hAnsi="Arial" w:eastAsia="宋体" w:cs="Arial"/>
                <w:kern w:val="0"/>
                <w:sz w:val="20"/>
                <w:szCs w:val="20"/>
              </w:rPr>
            </w:pPr>
          </w:p>
        </w:tc>
        <w:tc>
          <w:tcPr>
            <w:tcW w:w="1292"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left"/>
              <w:rPr>
                <w:rFonts w:ascii="Arial" w:hAnsi="Arial" w:eastAsia="宋体" w:cs="Arial"/>
                <w:kern w:val="0"/>
                <w:sz w:val="20"/>
                <w:szCs w:val="20"/>
              </w:rPr>
            </w:pPr>
          </w:p>
        </w:tc>
        <w:tc>
          <w:tcPr>
            <w:tcW w:w="310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left"/>
              <w:rPr>
                <w:rFonts w:ascii="Arial" w:hAnsi="Arial" w:eastAsia="宋体" w:cs="Arial"/>
                <w:kern w:val="0"/>
                <w:sz w:val="20"/>
                <w:szCs w:val="20"/>
              </w:rPr>
            </w:pPr>
            <w:r>
              <w:rPr>
                <w:rFonts w:ascii="Arial" w:hAnsi="Arial" w:eastAsia="宋体" w:cs="Arial"/>
                <w:kern w:val="0"/>
                <w:sz w:val="20"/>
                <w:szCs w:val="20"/>
              </w:rPr>
              <w:t>摄影</w:t>
            </w:r>
          </w:p>
        </w:tc>
        <w:tc>
          <w:tcPr>
            <w:tcW w:w="1051"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216</w:t>
            </w:r>
          </w:p>
        </w:tc>
      </w:tr>
      <w:tr>
        <w:tblPrEx>
          <w:tblLayout w:type="fixed"/>
          <w:tblCellMar>
            <w:top w:w="0" w:type="dxa"/>
            <w:left w:w="108" w:type="dxa"/>
            <w:bottom w:w="0" w:type="dxa"/>
            <w:right w:w="108" w:type="dxa"/>
          </w:tblCellMar>
        </w:tblPrEx>
        <w:trPr>
          <w:trHeight w:val="284" w:hRule="atLeast"/>
          <w:jc w:val="center"/>
        </w:trPr>
        <w:tc>
          <w:tcPr>
            <w:tcW w:w="2493"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left"/>
              <w:rPr>
                <w:rFonts w:ascii="Arial" w:hAnsi="Arial" w:eastAsia="宋体" w:cs="Arial"/>
                <w:kern w:val="0"/>
                <w:sz w:val="20"/>
                <w:szCs w:val="20"/>
              </w:rPr>
            </w:pPr>
          </w:p>
        </w:tc>
        <w:tc>
          <w:tcPr>
            <w:tcW w:w="1292"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left"/>
              <w:rPr>
                <w:rFonts w:ascii="Arial" w:hAnsi="Arial" w:eastAsia="宋体" w:cs="Arial"/>
                <w:kern w:val="0"/>
                <w:sz w:val="20"/>
                <w:szCs w:val="20"/>
              </w:rPr>
            </w:pPr>
          </w:p>
        </w:tc>
        <w:tc>
          <w:tcPr>
            <w:tcW w:w="310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left"/>
              <w:rPr>
                <w:rFonts w:ascii="Arial" w:hAnsi="Arial" w:eastAsia="宋体" w:cs="Arial"/>
                <w:kern w:val="0"/>
                <w:sz w:val="20"/>
                <w:szCs w:val="20"/>
              </w:rPr>
            </w:pPr>
            <w:r>
              <w:rPr>
                <w:rFonts w:ascii="Arial" w:hAnsi="Arial" w:eastAsia="宋体" w:cs="Arial"/>
                <w:kern w:val="0"/>
                <w:sz w:val="20"/>
                <w:szCs w:val="20"/>
              </w:rPr>
              <w:t>数字媒体艺术</w:t>
            </w:r>
          </w:p>
        </w:tc>
        <w:tc>
          <w:tcPr>
            <w:tcW w:w="1051"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108</w:t>
            </w:r>
          </w:p>
        </w:tc>
      </w:tr>
      <w:tr>
        <w:tblPrEx>
          <w:tblLayout w:type="fixed"/>
          <w:tblCellMar>
            <w:top w:w="0" w:type="dxa"/>
            <w:left w:w="108" w:type="dxa"/>
            <w:bottom w:w="0" w:type="dxa"/>
            <w:right w:w="108" w:type="dxa"/>
          </w:tblCellMar>
        </w:tblPrEx>
        <w:trPr>
          <w:trHeight w:val="284" w:hRule="atLeast"/>
          <w:jc w:val="center"/>
        </w:trPr>
        <w:tc>
          <w:tcPr>
            <w:tcW w:w="2493"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left"/>
              <w:rPr>
                <w:rFonts w:ascii="Arial" w:hAnsi="Arial" w:eastAsia="宋体" w:cs="Arial"/>
                <w:kern w:val="0"/>
                <w:sz w:val="20"/>
                <w:szCs w:val="20"/>
              </w:rPr>
            </w:pPr>
          </w:p>
        </w:tc>
        <w:tc>
          <w:tcPr>
            <w:tcW w:w="1292"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left"/>
              <w:rPr>
                <w:rFonts w:ascii="Arial" w:hAnsi="Arial" w:eastAsia="宋体" w:cs="Arial"/>
                <w:kern w:val="0"/>
                <w:sz w:val="20"/>
                <w:szCs w:val="20"/>
              </w:rPr>
            </w:pPr>
          </w:p>
        </w:tc>
        <w:tc>
          <w:tcPr>
            <w:tcW w:w="310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left"/>
              <w:rPr>
                <w:rFonts w:ascii="Arial" w:hAnsi="Arial" w:eastAsia="宋体" w:cs="Arial"/>
                <w:kern w:val="0"/>
                <w:sz w:val="20"/>
                <w:szCs w:val="20"/>
              </w:rPr>
            </w:pPr>
            <w:r>
              <w:rPr>
                <w:rFonts w:ascii="Arial" w:hAnsi="Arial" w:eastAsia="宋体" w:cs="Arial"/>
                <w:kern w:val="0"/>
                <w:sz w:val="20"/>
                <w:szCs w:val="20"/>
              </w:rPr>
              <w:t>戏剧影视文学</w:t>
            </w:r>
          </w:p>
        </w:tc>
        <w:tc>
          <w:tcPr>
            <w:tcW w:w="1051"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rPr>
                <w:rFonts w:ascii="Arial" w:hAnsi="Arial" w:eastAsia="宋体" w:cs="Arial"/>
                <w:kern w:val="0"/>
                <w:sz w:val="20"/>
                <w:szCs w:val="20"/>
              </w:rPr>
            </w:pPr>
            <w:r>
              <w:rPr>
                <w:rFonts w:ascii="Arial" w:hAnsi="Arial" w:eastAsia="宋体" w:cs="Arial"/>
                <w:kern w:val="0"/>
                <w:sz w:val="20"/>
                <w:szCs w:val="20"/>
              </w:rPr>
              <w:t>31</w:t>
            </w:r>
          </w:p>
        </w:tc>
      </w:tr>
      <w:tr>
        <w:tblPrEx>
          <w:tblLayout w:type="fixed"/>
          <w:tblCellMar>
            <w:top w:w="0" w:type="dxa"/>
            <w:left w:w="108" w:type="dxa"/>
            <w:bottom w:w="0" w:type="dxa"/>
            <w:right w:w="108" w:type="dxa"/>
          </w:tblCellMar>
        </w:tblPrEx>
        <w:trPr>
          <w:trHeight w:val="284" w:hRule="atLeast"/>
          <w:jc w:val="center"/>
        </w:trPr>
        <w:tc>
          <w:tcPr>
            <w:tcW w:w="2493"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left"/>
              <w:rPr>
                <w:rFonts w:ascii="Arial" w:hAnsi="Arial" w:eastAsia="宋体" w:cs="Arial"/>
                <w:kern w:val="0"/>
                <w:sz w:val="20"/>
                <w:szCs w:val="20"/>
              </w:rPr>
            </w:pPr>
          </w:p>
        </w:tc>
        <w:tc>
          <w:tcPr>
            <w:tcW w:w="1292"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left"/>
              <w:rPr>
                <w:rFonts w:ascii="Arial" w:hAnsi="Arial" w:eastAsia="宋体" w:cs="Arial"/>
                <w:kern w:val="0"/>
                <w:sz w:val="20"/>
                <w:szCs w:val="20"/>
              </w:rPr>
            </w:pPr>
          </w:p>
        </w:tc>
        <w:tc>
          <w:tcPr>
            <w:tcW w:w="310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left"/>
              <w:rPr>
                <w:rFonts w:ascii="Arial" w:hAnsi="Arial" w:eastAsia="宋体" w:cs="Arial"/>
                <w:kern w:val="0"/>
                <w:sz w:val="20"/>
                <w:szCs w:val="20"/>
              </w:rPr>
            </w:pPr>
            <w:r>
              <w:rPr>
                <w:rFonts w:ascii="Arial" w:hAnsi="Arial" w:eastAsia="宋体" w:cs="Arial"/>
                <w:kern w:val="0"/>
                <w:sz w:val="20"/>
                <w:szCs w:val="20"/>
              </w:rPr>
              <w:t>影视摄影与制作</w:t>
            </w:r>
          </w:p>
        </w:tc>
        <w:tc>
          <w:tcPr>
            <w:tcW w:w="1051"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111</w:t>
            </w:r>
          </w:p>
        </w:tc>
      </w:tr>
      <w:tr>
        <w:tblPrEx>
          <w:tblLayout w:type="fixed"/>
          <w:tblCellMar>
            <w:top w:w="0" w:type="dxa"/>
            <w:left w:w="108" w:type="dxa"/>
            <w:bottom w:w="0" w:type="dxa"/>
            <w:right w:w="108" w:type="dxa"/>
          </w:tblCellMar>
        </w:tblPrEx>
        <w:trPr>
          <w:trHeight w:val="284" w:hRule="atLeast"/>
          <w:jc w:val="center"/>
        </w:trPr>
        <w:tc>
          <w:tcPr>
            <w:tcW w:w="2493"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left"/>
              <w:rPr>
                <w:rFonts w:ascii="Arial" w:hAnsi="Arial" w:eastAsia="宋体" w:cs="Arial"/>
                <w:kern w:val="0"/>
                <w:sz w:val="20"/>
                <w:szCs w:val="20"/>
              </w:rPr>
            </w:pPr>
          </w:p>
        </w:tc>
        <w:tc>
          <w:tcPr>
            <w:tcW w:w="1292"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left"/>
              <w:rPr>
                <w:rFonts w:ascii="Arial" w:hAnsi="Arial" w:eastAsia="宋体" w:cs="Arial"/>
                <w:kern w:val="0"/>
                <w:sz w:val="20"/>
                <w:szCs w:val="20"/>
              </w:rPr>
            </w:pPr>
          </w:p>
        </w:tc>
        <w:tc>
          <w:tcPr>
            <w:tcW w:w="310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left"/>
              <w:rPr>
                <w:rFonts w:ascii="Arial" w:hAnsi="Arial" w:eastAsia="宋体" w:cs="Arial"/>
                <w:kern w:val="0"/>
                <w:sz w:val="20"/>
                <w:szCs w:val="20"/>
              </w:rPr>
            </w:pPr>
            <w:r>
              <w:rPr>
                <w:rFonts w:ascii="Arial" w:hAnsi="Arial" w:eastAsia="宋体" w:cs="Arial"/>
                <w:kern w:val="0"/>
                <w:sz w:val="20"/>
                <w:szCs w:val="20"/>
              </w:rPr>
              <w:t>照明艺术</w:t>
            </w:r>
          </w:p>
        </w:tc>
        <w:tc>
          <w:tcPr>
            <w:tcW w:w="1051"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w:t>
            </w:r>
          </w:p>
        </w:tc>
      </w:tr>
    </w:tbl>
    <w:p>
      <w:pPr>
        <w:pStyle w:val="33"/>
        <w:tabs>
          <w:tab w:val="left" w:pos="312"/>
        </w:tabs>
        <w:spacing w:before="100" w:after="100" w:afterLines="0" w:line="360" w:lineRule="auto"/>
        <w:ind w:left="482" w:firstLine="0" w:firstLineChars="0"/>
        <w:outlineLvl w:val="2"/>
        <w:rPr>
          <w:rFonts w:ascii="Times New Roman" w:hAnsi="Times New Roman" w:eastAsia="宋体"/>
          <w:b w:val="0"/>
          <w:bCs w:val="0"/>
          <w:sz w:val="24"/>
          <w:szCs w:val="24"/>
        </w:rPr>
      </w:pPr>
      <w:bookmarkStart w:id="35" w:name="_Toc429218579"/>
      <w:bookmarkStart w:id="36" w:name="_Toc430099480"/>
      <w:bookmarkStart w:id="37" w:name="_Toc25883"/>
      <w:bookmarkStart w:id="38" w:name="_Toc501407778"/>
      <w:bookmarkStart w:id="39" w:name="_Toc17705"/>
      <w:bookmarkStart w:id="40" w:name="_Toc501407170"/>
      <w:bookmarkStart w:id="41" w:name="_Toc9500"/>
      <w:r>
        <w:rPr>
          <w:rFonts w:hint="eastAsia" w:ascii="Times New Roman" w:hAnsi="Times New Roman" w:eastAsia="宋体"/>
          <w:b w:val="0"/>
          <w:bCs w:val="0"/>
          <w:sz w:val="24"/>
          <w:szCs w:val="24"/>
        </w:rPr>
        <w:t>2.3  2017届专科毕业生</w:t>
      </w:r>
      <w:bookmarkEnd w:id="35"/>
      <w:bookmarkEnd w:id="36"/>
      <w:r>
        <w:rPr>
          <w:rFonts w:hint="eastAsia" w:ascii="Times New Roman" w:hAnsi="Times New Roman" w:eastAsia="宋体"/>
          <w:b w:val="0"/>
          <w:bCs w:val="0"/>
          <w:sz w:val="24"/>
          <w:szCs w:val="24"/>
        </w:rPr>
        <w:t>学院分布</w:t>
      </w:r>
      <w:bookmarkEnd w:id="37"/>
      <w:r>
        <w:rPr>
          <w:rFonts w:hint="eastAsia" w:ascii="Times New Roman" w:hAnsi="Times New Roman" w:eastAsia="宋体"/>
          <w:b w:val="0"/>
          <w:bCs w:val="0"/>
          <w:sz w:val="24"/>
          <w:szCs w:val="24"/>
        </w:rPr>
        <w:t>情况</w:t>
      </w:r>
      <w:bookmarkEnd w:id="38"/>
      <w:bookmarkEnd w:id="39"/>
      <w:bookmarkEnd w:id="40"/>
      <w:bookmarkEnd w:id="41"/>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学校2017届专</w:t>
      </w:r>
      <w:r>
        <w:rPr>
          <w:rFonts w:ascii="Times New Roman" w:hAnsi="Times New Roman" w:eastAsia="宋体" w:cs="Times New Roman"/>
          <w:sz w:val="24"/>
          <w:szCs w:val="24"/>
        </w:rPr>
        <w:t>科毕业生</w:t>
      </w:r>
      <w:r>
        <w:rPr>
          <w:rFonts w:hint="eastAsia" w:ascii="Times New Roman" w:hAnsi="Times New Roman" w:eastAsia="宋体" w:cs="Times New Roman"/>
          <w:sz w:val="24"/>
          <w:szCs w:val="24"/>
        </w:rPr>
        <w:t>分布在8个学院</w:t>
      </w:r>
      <w:r>
        <w:rPr>
          <w:rFonts w:ascii="Times New Roman" w:hAnsi="Times New Roman" w:eastAsia="宋体" w:cs="Times New Roman"/>
          <w:sz w:val="24"/>
          <w:szCs w:val="24"/>
        </w:rPr>
        <w:t>，各学院毕业生人数如下表所示。其中</w:t>
      </w:r>
      <w:r>
        <w:rPr>
          <w:rFonts w:hint="eastAsia" w:ascii="Times New Roman" w:hAnsi="Times New Roman" w:eastAsia="宋体" w:cs="Times New Roman"/>
          <w:sz w:val="24"/>
          <w:szCs w:val="24"/>
        </w:rPr>
        <w:t>毕业生</w:t>
      </w:r>
      <w:r>
        <w:rPr>
          <w:rFonts w:ascii="Times New Roman" w:hAnsi="Times New Roman" w:eastAsia="宋体" w:cs="Times New Roman"/>
          <w:sz w:val="24"/>
          <w:szCs w:val="24"/>
        </w:rPr>
        <w:t>人数占比排名前三位的学院分别是：艺术设计学院</w:t>
      </w:r>
      <w:r>
        <w:rPr>
          <w:rFonts w:hint="eastAsia" w:ascii="Times New Roman" w:hAnsi="Times New Roman" w:eastAsia="宋体" w:cs="Times New Roman"/>
          <w:sz w:val="24"/>
          <w:szCs w:val="24"/>
        </w:rPr>
        <w:t>，</w:t>
      </w:r>
      <w:r>
        <w:rPr>
          <w:rFonts w:ascii="Times New Roman" w:hAnsi="Times New Roman" w:eastAsia="宋体" w:cs="Times New Roman"/>
          <w:sz w:val="24"/>
          <w:szCs w:val="24"/>
        </w:rPr>
        <w:t>占</w:t>
      </w:r>
      <w:r>
        <w:rPr>
          <w:rFonts w:hint="eastAsia" w:ascii="Times New Roman" w:hAnsi="Times New Roman" w:eastAsia="宋体" w:cs="Times New Roman"/>
          <w:sz w:val="24"/>
          <w:szCs w:val="24"/>
        </w:rPr>
        <w:t>专</w:t>
      </w:r>
      <w:r>
        <w:rPr>
          <w:rFonts w:ascii="Times New Roman" w:hAnsi="Times New Roman" w:eastAsia="宋体" w:cs="Times New Roman"/>
          <w:sz w:val="24"/>
          <w:szCs w:val="24"/>
        </w:rPr>
        <w:t>科毕业生总人数的</w:t>
      </w:r>
      <w:r>
        <w:rPr>
          <w:rFonts w:hint="eastAsia" w:ascii="Times New Roman" w:hAnsi="Times New Roman" w:eastAsia="宋体" w:cs="Times New Roman"/>
          <w:sz w:val="24"/>
          <w:szCs w:val="24"/>
        </w:rPr>
        <w:t>31.02</w:t>
      </w:r>
      <w:r>
        <w:rPr>
          <w:rFonts w:ascii="Times New Roman" w:hAnsi="Times New Roman" w:eastAsia="宋体" w:cs="Times New Roman"/>
          <w:sz w:val="24"/>
          <w:szCs w:val="24"/>
        </w:rPr>
        <w:t>%</w:t>
      </w:r>
      <w:r>
        <w:rPr>
          <w:rFonts w:hint="eastAsia" w:ascii="Times New Roman" w:hAnsi="Times New Roman" w:eastAsia="宋体" w:cs="Times New Roman"/>
          <w:sz w:val="24"/>
          <w:szCs w:val="24"/>
        </w:rPr>
        <w:t>；</w:t>
      </w:r>
      <w:r>
        <w:rPr>
          <w:rFonts w:ascii="Times New Roman" w:hAnsi="Times New Roman" w:eastAsia="宋体" w:cs="Times New Roman"/>
          <w:sz w:val="24"/>
          <w:szCs w:val="24"/>
        </w:rPr>
        <w:t>影视艺术学院</w:t>
      </w:r>
      <w:r>
        <w:rPr>
          <w:rFonts w:hint="eastAsia" w:ascii="Times New Roman" w:hAnsi="Times New Roman" w:eastAsia="宋体" w:cs="Times New Roman"/>
          <w:sz w:val="24"/>
          <w:szCs w:val="24"/>
        </w:rPr>
        <w:t>，</w:t>
      </w:r>
      <w:r>
        <w:rPr>
          <w:rFonts w:ascii="Times New Roman" w:hAnsi="Times New Roman" w:eastAsia="宋体" w:cs="Times New Roman"/>
          <w:sz w:val="24"/>
          <w:szCs w:val="24"/>
        </w:rPr>
        <w:t>占</w:t>
      </w:r>
      <w:r>
        <w:rPr>
          <w:rFonts w:hint="eastAsia" w:ascii="Times New Roman" w:hAnsi="Times New Roman" w:eastAsia="宋体" w:cs="Times New Roman"/>
          <w:sz w:val="24"/>
          <w:szCs w:val="24"/>
        </w:rPr>
        <w:t>专</w:t>
      </w:r>
      <w:r>
        <w:rPr>
          <w:rFonts w:ascii="Times New Roman" w:hAnsi="Times New Roman" w:eastAsia="宋体" w:cs="Times New Roman"/>
          <w:sz w:val="24"/>
          <w:szCs w:val="24"/>
        </w:rPr>
        <w:t>科毕业生总人数的</w:t>
      </w:r>
      <w:r>
        <w:rPr>
          <w:rFonts w:hint="eastAsia" w:ascii="Times New Roman" w:hAnsi="Times New Roman" w:eastAsia="宋体" w:cs="Times New Roman"/>
          <w:sz w:val="24"/>
          <w:szCs w:val="24"/>
        </w:rPr>
        <w:t>22.08</w:t>
      </w:r>
      <w:r>
        <w:rPr>
          <w:rFonts w:ascii="Times New Roman" w:hAnsi="Times New Roman" w:eastAsia="宋体" w:cs="Times New Roman"/>
          <w:sz w:val="24"/>
          <w:szCs w:val="24"/>
        </w:rPr>
        <w:t>%；</w:t>
      </w:r>
      <w:r>
        <w:rPr>
          <w:rFonts w:hint="eastAsia" w:ascii="Times New Roman" w:hAnsi="Times New Roman" w:eastAsia="宋体" w:cs="Times New Roman"/>
          <w:sz w:val="24"/>
          <w:szCs w:val="24"/>
        </w:rPr>
        <w:t>新闻传播</w:t>
      </w:r>
      <w:r>
        <w:rPr>
          <w:rFonts w:ascii="Times New Roman" w:hAnsi="Times New Roman" w:eastAsia="宋体" w:cs="Times New Roman"/>
          <w:sz w:val="24"/>
          <w:szCs w:val="24"/>
        </w:rPr>
        <w:t>学院</w:t>
      </w:r>
      <w:r>
        <w:rPr>
          <w:rFonts w:hint="eastAsia" w:ascii="Times New Roman" w:hAnsi="Times New Roman" w:eastAsia="宋体" w:cs="Times New Roman"/>
          <w:sz w:val="24"/>
          <w:szCs w:val="24"/>
        </w:rPr>
        <w:t>，</w:t>
      </w:r>
      <w:r>
        <w:rPr>
          <w:rFonts w:ascii="Times New Roman" w:hAnsi="Times New Roman" w:eastAsia="宋体" w:cs="Times New Roman"/>
          <w:sz w:val="24"/>
          <w:szCs w:val="24"/>
        </w:rPr>
        <w:t>占</w:t>
      </w:r>
      <w:r>
        <w:rPr>
          <w:rFonts w:hint="eastAsia" w:ascii="Times New Roman" w:hAnsi="Times New Roman" w:eastAsia="宋体" w:cs="Times New Roman"/>
          <w:sz w:val="24"/>
          <w:szCs w:val="24"/>
        </w:rPr>
        <w:t>专</w:t>
      </w:r>
      <w:r>
        <w:rPr>
          <w:rFonts w:ascii="Times New Roman" w:hAnsi="Times New Roman" w:eastAsia="宋体" w:cs="Times New Roman"/>
          <w:sz w:val="24"/>
          <w:szCs w:val="24"/>
        </w:rPr>
        <w:t>科毕业生总人数的</w:t>
      </w:r>
      <w:r>
        <w:rPr>
          <w:rFonts w:hint="eastAsia" w:ascii="Times New Roman" w:hAnsi="Times New Roman" w:eastAsia="宋体" w:cs="Times New Roman"/>
          <w:sz w:val="24"/>
          <w:szCs w:val="24"/>
        </w:rPr>
        <w:t>18.76</w:t>
      </w:r>
      <w:r>
        <w:rPr>
          <w:rFonts w:ascii="Times New Roman" w:hAnsi="Times New Roman" w:eastAsia="宋体" w:cs="Times New Roman"/>
          <w:sz w:val="24"/>
          <w:szCs w:val="24"/>
        </w:rPr>
        <w:t>%。</w:t>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表1-4 2017届专科毕业生的学院分布</w:t>
      </w:r>
    </w:p>
    <w:tbl>
      <w:tblPr>
        <w:tblStyle w:val="26"/>
        <w:tblW w:w="7055" w:type="dxa"/>
        <w:jc w:val="center"/>
        <w:tblInd w:w="0" w:type="dxa"/>
        <w:tblLayout w:type="fixed"/>
        <w:tblCellMar>
          <w:top w:w="0" w:type="dxa"/>
          <w:left w:w="108" w:type="dxa"/>
          <w:bottom w:w="0" w:type="dxa"/>
          <w:right w:w="108" w:type="dxa"/>
        </w:tblCellMar>
      </w:tblPr>
      <w:tblGrid>
        <w:gridCol w:w="817"/>
        <w:gridCol w:w="3402"/>
        <w:gridCol w:w="1418"/>
        <w:gridCol w:w="1418"/>
      </w:tblGrid>
      <w:tr>
        <w:tblPrEx>
          <w:tblLayout w:type="fixed"/>
          <w:tblCellMar>
            <w:top w:w="0" w:type="dxa"/>
            <w:left w:w="108" w:type="dxa"/>
            <w:bottom w:w="0" w:type="dxa"/>
            <w:right w:w="108" w:type="dxa"/>
          </w:tblCellMar>
        </w:tblPrEx>
        <w:trPr>
          <w:trHeight w:val="454" w:hRule="atLeast"/>
          <w:jc w:val="center"/>
        </w:trPr>
        <w:tc>
          <w:tcPr>
            <w:tcW w:w="817" w:type="dxa"/>
            <w:tcBorders>
              <w:top w:val="single" w:color="4BACC6" w:sz="8" w:space="0"/>
              <w:left w:val="single" w:color="4BACC6" w:sz="8" w:space="0"/>
              <w:bottom w:val="single" w:color="FFFFFF" w:sz="4" w:space="0"/>
              <w:right w:val="single" w:color="4BACC6" w:sz="8" w:space="0"/>
            </w:tcBorders>
            <w:shd w:val="clear" w:color="auto" w:fill="4BACC6"/>
            <w:vAlign w:val="center"/>
          </w:tcPr>
          <w:p>
            <w:pPr>
              <w:widowControl/>
              <w:jc w:val="center"/>
              <w:textAlignment w:val="bottom"/>
              <w:rPr>
                <w:rFonts w:ascii="Arial" w:hAnsi="Arial" w:eastAsia="宋体" w:cs="Arial"/>
                <w:b/>
                <w:sz w:val="20"/>
                <w:szCs w:val="20"/>
              </w:rPr>
            </w:pPr>
            <w:r>
              <w:rPr>
                <w:rFonts w:hint="eastAsia" w:ascii="Arial" w:hAnsi="Arial" w:eastAsia="宋体" w:cs="Arial"/>
                <w:b/>
                <w:sz w:val="20"/>
                <w:szCs w:val="20"/>
              </w:rPr>
              <w:t>序号</w:t>
            </w:r>
          </w:p>
        </w:tc>
        <w:tc>
          <w:tcPr>
            <w:tcW w:w="3402" w:type="dxa"/>
            <w:tcBorders>
              <w:top w:val="single" w:color="4BACC6" w:sz="8" w:space="0"/>
              <w:left w:val="single" w:color="4BACC6" w:sz="8" w:space="0"/>
              <w:bottom w:val="single" w:color="FFFFFF" w:sz="4" w:space="0"/>
              <w:right w:val="single" w:color="4BACC6" w:sz="8" w:space="0"/>
            </w:tcBorders>
            <w:shd w:val="clear" w:color="auto" w:fill="4BACC6"/>
            <w:vAlign w:val="center"/>
          </w:tcPr>
          <w:p>
            <w:pPr>
              <w:widowControl/>
              <w:jc w:val="center"/>
              <w:textAlignment w:val="bottom"/>
              <w:rPr>
                <w:rFonts w:ascii="Arial" w:hAnsi="Arial" w:eastAsia="宋体" w:cs="Arial"/>
                <w:b/>
                <w:sz w:val="20"/>
                <w:szCs w:val="20"/>
              </w:rPr>
            </w:pPr>
            <w:r>
              <w:rPr>
                <w:rFonts w:ascii="Arial" w:hAnsi="Arial" w:eastAsia="宋体" w:cs="Arial"/>
                <w:b/>
                <w:kern w:val="0"/>
                <w:sz w:val="20"/>
                <w:szCs w:val="20"/>
                <w:lang w:bidi="ar"/>
              </w:rPr>
              <w:t>所在院系</w:t>
            </w:r>
          </w:p>
        </w:tc>
        <w:tc>
          <w:tcPr>
            <w:tcW w:w="1418" w:type="dxa"/>
            <w:tcBorders>
              <w:top w:val="single" w:color="4BACC6" w:sz="8" w:space="0"/>
              <w:left w:val="single" w:color="4BACC6" w:sz="8" w:space="0"/>
              <w:bottom w:val="single" w:color="FFFFFF" w:sz="4" w:space="0"/>
              <w:right w:val="single" w:color="4BACC6" w:sz="8" w:space="0"/>
            </w:tcBorders>
            <w:shd w:val="clear" w:color="auto" w:fill="4BACC6"/>
            <w:vAlign w:val="center"/>
          </w:tcPr>
          <w:p>
            <w:pPr>
              <w:widowControl/>
              <w:jc w:val="center"/>
              <w:textAlignment w:val="bottom"/>
              <w:rPr>
                <w:rFonts w:ascii="Arial" w:hAnsi="Arial" w:eastAsia="宋体" w:cs="Arial"/>
                <w:b/>
                <w:sz w:val="20"/>
                <w:szCs w:val="20"/>
              </w:rPr>
            </w:pPr>
            <w:r>
              <w:rPr>
                <w:rFonts w:hint="eastAsia" w:ascii="Arial" w:hAnsi="Arial" w:eastAsia="宋体" w:cs="Arial"/>
                <w:b/>
                <w:sz w:val="20"/>
                <w:szCs w:val="20"/>
              </w:rPr>
              <w:t>人数</w:t>
            </w:r>
          </w:p>
        </w:tc>
        <w:tc>
          <w:tcPr>
            <w:tcW w:w="1418" w:type="dxa"/>
            <w:tcBorders>
              <w:top w:val="single" w:color="4BACC6" w:sz="8" w:space="0"/>
              <w:left w:val="single" w:color="4BACC6" w:sz="8" w:space="0"/>
              <w:bottom w:val="single" w:color="FFFFFF" w:sz="4" w:space="0"/>
              <w:right w:val="single" w:color="4BACC6" w:sz="8" w:space="0"/>
            </w:tcBorders>
            <w:shd w:val="clear" w:color="auto" w:fill="4BACC6"/>
            <w:vAlign w:val="center"/>
          </w:tcPr>
          <w:p>
            <w:pPr>
              <w:widowControl/>
              <w:jc w:val="center"/>
              <w:textAlignment w:val="bottom"/>
              <w:rPr>
                <w:rFonts w:ascii="Arial" w:hAnsi="Arial" w:eastAsia="宋体" w:cs="Arial"/>
                <w:b/>
                <w:kern w:val="0"/>
                <w:sz w:val="20"/>
                <w:szCs w:val="20"/>
                <w:lang w:bidi="ar"/>
              </w:rPr>
            </w:pPr>
            <w:r>
              <w:rPr>
                <w:rFonts w:hint="eastAsia" w:ascii="Arial" w:hAnsi="Arial" w:eastAsia="宋体" w:cs="Arial"/>
                <w:b/>
                <w:kern w:val="0"/>
                <w:sz w:val="20"/>
                <w:szCs w:val="20"/>
                <w:lang w:bidi="ar"/>
              </w:rPr>
              <w:t>比例</w:t>
            </w:r>
          </w:p>
        </w:tc>
      </w:tr>
      <w:tr>
        <w:tblPrEx>
          <w:tblLayout w:type="fixed"/>
          <w:tblCellMar>
            <w:top w:w="0" w:type="dxa"/>
            <w:left w:w="108" w:type="dxa"/>
            <w:bottom w:w="0" w:type="dxa"/>
            <w:right w:w="108" w:type="dxa"/>
          </w:tblCellMar>
        </w:tblPrEx>
        <w:trPr>
          <w:trHeight w:val="284" w:hRule="atLeast"/>
          <w:jc w:val="center"/>
        </w:trPr>
        <w:tc>
          <w:tcPr>
            <w:tcW w:w="817" w:type="dxa"/>
            <w:tcBorders>
              <w:top w:val="single" w:color="FFFFFF" w:sz="4"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hint="eastAsia" w:ascii="Arial" w:hAnsi="Arial" w:eastAsia="宋体" w:cs="Arial"/>
                <w:sz w:val="20"/>
                <w:szCs w:val="20"/>
              </w:rPr>
              <w:t>1</w:t>
            </w:r>
          </w:p>
        </w:tc>
        <w:tc>
          <w:tcPr>
            <w:tcW w:w="3402" w:type="dxa"/>
            <w:tcBorders>
              <w:top w:val="single" w:color="FFFFFF" w:sz="4"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sz w:val="20"/>
                <w:szCs w:val="20"/>
              </w:rPr>
              <w:t>表演艺术学院</w:t>
            </w:r>
          </w:p>
        </w:tc>
        <w:tc>
          <w:tcPr>
            <w:tcW w:w="1418" w:type="dxa"/>
            <w:tcBorders>
              <w:top w:val="single" w:color="FFFFFF" w:sz="4"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sz w:val="20"/>
                <w:szCs w:val="20"/>
              </w:rPr>
              <w:t>64</w:t>
            </w:r>
          </w:p>
        </w:tc>
        <w:tc>
          <w:tcPr>
            <w:tcW w:w="1418" w:type="dxa"/>
            <w:tcBorders>
              <w:top w:val="single" w:color="FFFFFF" w:sz="4"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sz w:val="20"/>
                <w:szCs w:val="20"/>
              </w:rPr>
              <w:t>9.24%</w:t>
            </w:r>
          </w:p>
        </w:tc>
      </w:tr>
      <w:tr>
        <w:tblPrEx>
          <w:tblLayout w:type="fixed"/>
          <w:tblCellMar>
            <w:top w:w="0" w:type="dxa"/>
            <w:left w:w="108" w:type="dxa"/>
            <w:bottom w:w="0" w:type="dxa"/>
            <w:right w:w="108" w:type="dxa"/>
          </w:tblCellMar>
        </w:tblPrEx>
        <w:trPr>
          <w:trHeight w:val="284" w:hRule="atLeast"/>
          <w:jc w:val="center"/>
        </w:trPr>
        <w:tc>
          <w:tcPr>
            <w:tcW w:w="817"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hint="eastAsia" w:ascii="Arial" w:hAnsi="Arial" w:eastAsia="宋体" w:cs="Arial"/>
                <w:sz w:val="20"/>
                <w:szCs w:val="20"/>
              </w:rPr>
              <w:t>2</w:t>
            </w:r>
          </w:p>
        </w:tc>
        <w:tc>
          <w:tcPr>
            <w:tcW w:w="340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sz w:val="20"/>
                <w:szCs w:val="20"/>
              </w:rPr>
              <w:t>动画学院</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sz w:val="20"/>
                <w:szCs w:val="20"/>
              </w:rPr>
              <w:t>15</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sz w:val="20"/>
                <w:szCs w:val="20"/>
              </w:rPr>
              <w:t>2.16%</w:t>
            </w:r>
          </w:p>
        </w:tc>
      </w:tr>
      <w:tr>
        <w:tblPrEx>
          <w:tblLayout w:type="fixed"/>
          <w:tblCellMar>
            <w:top w:w="0" w:type="dxa"/>
            <w:left w:w="108" w:type="dxa"/>
            <w:bottom w:w="0" w:type="dxa"/>
            <w:right w:w="108" w:type="dxa"/>
          </w:tblCellMar>
        </w:tblPrEx>
        <w:trPr>
          <w:trHeight w:val="284" w:hRule="atLeast"/>
          <w:jc w:val="center"/>
        </w:trPr>
        <w:tc>
          <w:tcPr>
            <w:tcW w:w="817"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hint="eastAsia" w:ascii="Arial" w:hAnsi="Arial" w:eastAsia="宋体" w:cs="Arial"/>
                <w:sz w:val="20"/>
                <w:szCs w:val="20"/>
              </w:rPr>
              <w:t>3</w:t>
            </w:r>
          </w:p>
        </w:tc>
        <w:tc>
          <w:tcPr>
            <w:tcW w:w="340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sz w:val="20"/>
                <w:szCs w:val="20"/>
              </w:rPr>
              <w:t>舞蹈艺术学院</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sz w:val="20"/>
                <w:szCs w:val="20"/>
              </w:rPr>
              <w:t>59</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sz w:val="20"/>
                <w:szCs w:val="20"/>
              </w:rPr>
              <w:t>8.51%</w:t>
            </w:r>
          </w:p>
        </w:tc>
      </w:tr>
      <w:tr>
        <w:tblPrEx>
          <w:tblLayout w:type="fixed"/>
          <w:tblCellMar>
            <w:top w:w="0" w:type="dxa"/>
            <w:left w:w="108" w:type="dxa"/>
            <w:bottom w:w="0" w:type="dxa"/>
            <w:right w:w="108" w:type="dxa"/>
          </w:tblCellMar>
        </w:tblPrEx>
        <w:trPr>
          <w:trHeight w:val="284" w:hRule="atLeast"/>
          <w:jc w:val="center"/>
        </w:trPr>
        <w:tc>
          <w:tcPr>
            <w:tcW w:w="817"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hint="eastAsia" w:ascii="Arial" w:hAnsi="Arial" w:eastAsia="宋体" w:cs="Arial"/>
                <w:sz w:val="20"/>
                <w:szCs w:val="20"/>
              </w:rPr>
              <w:t>4</w:t>
            </w:r>
          </w:p>
        </w:tc>
        <w:tc>
          <w:tcPr>
            <w:tcW w:w="340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sz w:val="20"/>
                <w:szCs w:val="20"/>
              </w:rPr>
              <w:t>新闻传播学院</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sz w:val="20"/>
                <w:szCs w:val="20"/>
              </w:rPr>
              <w:t>130</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sz w:val="20"/>
                <w:szCs w:val="20"/>
              </w:rPr>
              <w:t>18.76%</w:t>
            </w:r>
          </w:p>
        </w:tc>
      </w:tr>
      <w:tr>
        <w:tblPrEx>
          <w:tblLayout w:type="fixed"/>
          <w:tblCellMar>
            <w:top w:w="0" w:type="dxa"/>
            <w:left w:w="108" w:type="dxa"/>
            <w:bottom w:w="0" w:type="dxa"/>
            <w:right w:w="108" w:type="dxa"/>
          </w:tblCellMar>
        </w:tblPrEx>
        <w:trPr>
          <w:trHeight w:val="284" w:hRule="atLeast"/>
          <w:jc w:val="center"/>
        </w:trPr>
        <w:tc>
          <w:tcPr>
            <w:tcW w:w="817"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hint="eastAsia" w:ascii="Arial" w:hAnsi="Arial" w:eastAsia="宋体" w:cs="Arial"/>
                <w:sz w:val="20"/>
                <w:szCs w:val="20"/>
              </w:rPr>
              <w:t>5</w:t>
            </w:r>
          </w:p>
        </w:tc>
        <w:tc>
          <w:tcPr>
            <w:tcW w:w="340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sz w:val="20"/>
                <w:szCs w:val="20"/>
              </w:rPr>
              <w:t>信息技术与文化管理学院</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sz w:val="20"/>
                <w:szCs w:val="20"/>
              </w:rPr>
              <w:t>42</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sz w:val="20"/>
                <w:szCs w:val="20"/>
              </w:rPr>
              <w:t>6.06%</w:t>
            </w:r>
          </w:p>
        </w:tc>
      </w:tr>
      <w:tr>
        <w:tblPrEx>
          <w:tblLayout w:type="fixed"/>
          <w:tblCellMar>
            <w:top w:w="0" w:type="dxa"/>
            <w:left w:w="108" w:type="dxa"/>
            <w:bottom w:w="0" w:type="dxa"/>
            <w:right w:w="108" w:type="dxa"/>
          </w:tblCellMar>
        </w:tblPrEx>
        <w:trPr>
          <w:trHeight w:val="284" w:hRule="atLeast"/>
          <w:jc w:val="center"/>
        </w:trPr>
        <w:tc>
          <w:tcPr>
            <w:tcW w:w="817"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hint="eastAsia" w:ascii="Arial" w:hAnsi="Arial" w:eastAsia="宋体" w:cs="Arial"/>
                <w:sz w:val="20"/>
                <w:szCs w:val="20"/>
              </w:rPr>
              <w:t>6</w:t>
            </w:r>
          </w:p>
        </w:tc>
        <w:tc>
          <w:tcPr>
            <w:tcW w:w="340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sz w:val="20"/>
                <w:szCs w:val="20"/>
              </w:rPr>
              <w:t>艺术设计学院</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sz w:val="20"/>
                <w:szCs w:val="20"/>
              </w:rPr>
              <w:t>215</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sz w:val="20"/>
                <w:szCs w:val="20"/>
              </w:rPr>
              <w:t>31.02%</w:t>
            </w:r>
          </w:p>
        </w:tc>
      </w:tr>
      <w:tr>
        <w:tblPrEx>
          <w:tblLayout w:type="fixed"/>
          <w:tblCellMar>
            <w:top w:w="0" w:type="dxa"/>
            <w:left w:w="108" w:type="dxa"/>
            <w:bottom w:w="0" w:type="dxa"/>
            <w:right w:w="108" w:type="dxa"/>
          </w:tblCellMar>
        </w:tblPrEx>
        <w:trPr>
          <w:trHeight w:val="284" w:hRule="atLeast"/>
          <w:jc w:val="center"/>
        </w:trPr>
        <w:tc>
          <w:tcPr>
            <w:tcW w:w="817"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hint="eastAsia" w:ascii="Arial" w:hAnsi="Arial" w:eastAsia="宋体" w:cs="Arial"/>
                <w:sz w:val="20"/>
                <w:szCs w:val="20"/>
              </w:rPr>
              <w:t>7</w:t>
            </w:r>
          </w:p>
        </w:tc>
        <w:tc>
          <w:tcPr>
            <w:tcW w:w="340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sz w:val="20"/>
                <w:szCs w:val="20"/>
              </w:rPr>
              <w:t>艺术体育学院</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sz w:val="20"/>
                <w:szCs w:val="20"/>
              </w:rPr>
              <w:t>15</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sz w:val="20"/>
                <w:szCs w:val="20"/>
              </w:rPr>
              <w:t>2.16%</w:t>
            </w:r>
          </w:p>
        </w:tc>
      </w:tr>
      <w:tr>
        <w:tblPrEx>
          <w:tblLayout w:type="fixed"/>
          <w:tblCellMar>
            <w:top w:w="0" w:type="dxa"/>
            <w:left w:w="108" w:type="dxa"/>
            <w:bottom w:w="0" w:type="dxa"/>
            <w:right w:w="108" w:type="dxa"/>
          </w:tblCellMar>
        </w:tblPrEx>
        <w:trPr>
          <w:trHeight w:val="284" w:hRule="atLeast"/>
          <w:jc w:val="center"/>
        </w:trPr>
        <w:tc>
          <w:tcPr>
            <w:tcW w:w="817"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hint="eastAsia" w:ascii="Arial" w:hAnsi="Arial" w:eastAsia="宋体" w:cs="Arial"/>
                <w:sz w:val="20"/>
                <w:szCs w:val="20"/>
              </w:rPr>
              <w:t>8</w:t>
            </w:r>
          </w:p>
        </w:tc>
        <w:tc>
          <w:tcPr>
            <w:tcW w:w="340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sz w:val="20"/>
                <w:szCs w:val="20"/>
              </w:rPr>
              <w:t>影视艺术学院</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sz w:val="20"/>
                <w:szCs w:val="20"/>
              </w:rPr>
              <w:t>153</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sz w:val="20"/>
                <w:szCs w:val="20"/>
              </w:rPr>
              <w:t>22.08%</w:t>
            </w:r>
          </w:p>
        </w:tc>
      </w:tr>
      <w:tr>
        <w:tblPrEx>
          <w:tblLayout w:type="fixed"/>
          <w:tblCellMar>
            <w:top w:w="0" w:type="dxa"/>
            <w:left w:w="108" w:type="dxa"/>
            <w:bottom w:w="0" w:type="dxa"/>
            <w:right w:w="108" w:type="dxa"/>
          </w:tblCellMar>
        </w:tblPrEx>
        <w:trPr>
          <w:trHeight w:val="284" w:hRule="atLeast"/>
          <w:jc w:val="center"/>
        </w:trPr>
        <w:tc>
          <w:tcPr>
            <w:tcW w:w="4219" w:type="dxa"/>
            <w:gridSpan w:val="2"/>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b/>
                <w:kern w:val="0"/>
                <w:sz w:val="20"/>
                <w:szCs w:val="20"/>
                <w:lang w:bidi="ar"/>
              </w:rPr>
            </w:pPr>
            <w:r>
              <w:rPr>
                <w:rFonts w:hint="eastAsia" w:ascii="Arial" w:hAnsi="Arial" w:eastAsia="宋体" w:cs="Arial"/>
                <w:b/>
                <w:kern w:val="0"/>
                <w:sz w:val="20"/>
                <w:szCs w:val="20"/>
                <w:lang w:bidi="ar"/>
              </w:rPr>
              <w:t>总计</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b/>
                <w:kern w:val="0"/>
                <w:sz w:val="20"/>
                <w:szCs w:val="20"/>
                <w:lang w:bidi="ar"/>
              </w:rPr>
            </w:pPr>
            <w:r>
              <w:rPr>
                <w:rFonts w:hint="eastAsia" w:ascii="Arial" w:hAnsi="Arial" w:eastAsia="宋体" w:cs="Arial"/>
                <w:b/>
                <w:kern w:val="0"/>
                <w:sz w:val="20"/>
                <w:szCs w:val="20"/>
                <w:lang w:bidi="ar"/>
              </w:rPr>
              <w:t>693</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b/>
                <w:kern w:val="0"/>
                <w:sz w:val="20"/>
                <w:szCs w:val="20"/>
                <w:lang w:bidi="ar"/>
              </w:rPr>
            </w:pPr>
          </w:p>
        </w:tc>
      </w:tr>
    </w:tbl>
    <w:p>
      <w:pPr>
        <w:pStyle w:val="33"/>
        <w:tabs>
          <w:tab w:val="left" w:pos="312"/>
        </w:tabs>
        <w:spacing w:before="100" w:after="100" w:afterLines="0" w:line="360" w:lineRule="auto"/>
        <w:ind w:left="482" w:firstLine="0" w:firstLineChars="0"/>
        <w:outlineLvl w:val="2"/>
        <w:rPr>
          <w:rFonts w:ascii="Times New Roman" w:hAnsi="Times New Roman" w:eastAsia="宋体"/>
          <w:b w:val="0"/>
          <w:bCs w:val="0"/>
          <w:sz w:val="24"/>
          <w:szCs w:val="24"/>
        </w:rPr>
      </w:pPr>
      <w:bookmarkStart w:id="42" w:name="_Toc501407779"/>
      <w:bookmarkStart w:id="43" w:name="_Toc501407171"/>
      <w:bookmarkStart w:id="44" w:name="_Toc9154"/>
      <w:bookmarkStart w:id="45" w:name="_Toc23314"/>
      <w:r>
        <w:rPr>
          <w:rFonts w:hint="eastAsia" w:ascii="Times New Roman" w:hAnsi="Times New Roman" w:eastAsia="宋体"/>
          <w:b w:val="0"/>
          <w:bCs w:val="0"/>
          <w:sz w:val="24"/>
          <w:szCs w:val="24"/>
        </w:rPr>
        <w:t>2.4  2017届专科毕业生学院分布情况</w:t>
      </w:r>
      <w:bookmarkEnd w:id="42"/>
      <w:bookmarkEnd w:id="43"/>
      <w:bookmarkEnd w:id="44"/>
      <w:bookmarkEnd w:id="45"/>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学校2017届专</w:t>
      </w:r>
      <w:r>
        <w:rPr>
          <w:rFonts w:ascii="Times New Roman" w:hAnsi="Times New Roman" w:eastAsia="宋体" w:cs="Times New Roman"/>
          <w:sz w:val="24"/>
          <w:szCs w:val="24"/>
        </w:rPr>
        <w:t>科毕业生</w:t>
      </w:r>
      <w:r>
        <w:rPr>
          <w:rFonts w:hint="eastAsia" w:ascii="Times New Roman" w:hAnsi="Times New Roman" w:eastAsia="宋体" w:cs="Times New Roman"/>
          <w:sz w:val="24"/>
          <w:szCs w:val="24"/>
        </w:rPr>
        <w:t>分布在17个专业</w:t>
      </w:r>
      <w:r>
        <w:rPr>
          <w:rFonts w:ascii="Times New Roman" w:hAnsi="Times New Roman" w:eastAsia="宋体" w:cs="Times New Roman"/>
          <w:sz w:val="24"/>
          <w:szCs w:val="24"/>
        </w:rPr>
        <w:t>，各</w:t>
      </w:r>
      <w:r>
        <w:rPr>
          <w:rFonts w:hint="eastAsia" w:ascii="Times New Roman" w:hAnsi="Times New Roman" w:eastAsia="宋体" w:cs="Times New Roman"/>
          <w:sz w:val="24"/>
          <w:szCs w:val="24"/>
        </w:rPr>
        <w:t>专业</w:t>
      </w:r>
      <w:r>
        <w:rPr>
          <w:rFonts w:ascii="Times New Roman" w:hAnsi="Times New Roman" w:eastAsia="宋体" w:cs="Times New Roman"/>
          <w:sz w:val="24"/>
          <w:szCs w:val="24"/>
        </w:rPr>
        <w:t>毕业生人数如下表所示。其中</w:t>
      </w:r>
      <w:r>
        <w:rPr>
          <w:rFonts w:hint="eastAsia" w:ascii="Times New Roman" w:hAnsi="Times New Roman" w:eastAsia="宋体" w:cs="Times New Roman"/>
          <w:sz w:val="24"/>
          <w:szCs w:val="24"/>
        </w:rPr>
        <w:t>毕业生</w:t>
      </w:r>
      <w:r>
        <w:rPr>
          <w:rFonts w:ascii="Times New Roman" w:hAnsi="Times New Roman" w:eastAsia="宋体" w:cs="Times New Roman"/>
          <w:sz w:val="24"/>
          <w:szCs w:val="24"/>
        </w:rPr>
        <w:t>人数占比排名前三位的</w:t>
      </w:r>
      <w:r>
        <w:rPr>
          <w:rFonts w:hint="eastAsia" w:ascii="Times New Roman" w:hAnsi="Times New Roman" w:eastAsia="宋体" w:cs="Times New Roman"/>
          <w:sz w:val="24"/>
          <w:szCs w:val="24"/>
        </w:rPr>
        <w:t>专业</w:t>
      </w:r>
      <w:r>
        <w:rPr>
          <w:rFonts w:ascii="Times New Roman" w:hAnsi="Times New Roman" w:eastAsia="宋体" w:cs="Times New Roman"/>
          <w:sz w:val="24"/>
          <w:szCs w:val="24"/>
        </w:rPr>
        <w:t>分别是：</w:t>
      </w:r>
      <w:r>
        <w:rPr>
          <w:rFonts w:hint="eastAsia" w:ascii="Times New Roman" w:hAnsi="Times New Roman" w:eastAsia="宋体" w:cs="Times New Roman"/>
          <w:sz w:val="24"/>
          <w:szCs w:val="24"/>
        </w:rPr>
        <w:t>艺术设计，</w:t>
      </w:r>
      <w:r>
        <w:rPr>
          <w:rFonts w:ascii="Times New Roman" w:hAnsi="Times New Roman" w:eastAsia="宋体" w:cs="Times New Roman"/>
          <w:sz w:val="24"/>
          <w:szCs w:val="24"/>
        </w:rPr>
        <w:t>占</w:t>
      </w:r>
      <w:r>
        <w:rPr>
          <w:rFonts w:hint="eastAsia" w:ascii="Times New Roman" w:hAnsi="Times New Roman" w:eastAsia="宋体" w:cs="Times New Roman"/>
          <w:sz w:val="24"/>
          <w:szCs w:val="24"/>
        </w:rPr>
        <w:t>专</w:t>
      </w:r>
      <w:r>
        <w:rPr>
          <w:rFonts w:ascii="Times New Roman" w:hAnsi="Times New Roman" w:eastAsia="宋体" w:cs="Times New Roman"/>
          <w:sz w:val="24"/>
          <w:szCs w:val="24"/>
        </w:rPr>
        <w:t>科毕业生总人数的</w:t>
      </w:r>
      <w:r>
        <w:rPr>
          <w:rFonts w:hint="eastAsia" w:ascii="Times New Roman" w:hAnsi="Times New Roman" w:eastAsia="宋体" w:cs="Times New Roman"/>
          <w:sz w:val="24"/>
          <w:szCs w:val="24"/>
        </w:rPr>
        <w:t>15.44</w:t>
      </w:r>
      <w:r>
        <w:rPr>
          <w:rFonts w:ascii="Times New Roman" w:hAnsi="Times New Roman" w:eastAsia="宋体" w:cs="Times New Roman"/>
          <w:sz w:val="24"/>
          <w:szCs w:val="24"/>
        </w:rPr>
        <w:t>%</w:t>
      </w:r>
      <w:r>
        <w:rPr>
          <w:rFonts w:hint="eastAsia" w:ascii="Times New Roman" w:hAnsi="Times New Roman" w:eastAsia="宋体" w:cs="Times New Roman"/>
          <w:sz w:val="24"/>
          <w:szCs w:val="24"/>
        </w:rPr>
        <w:t>；编导，</w:t>
      </w:r>
      <w:r>
        <w:rPr>
          <w:rFonts w:ascii="Times New Roman" w:hAnsi="Times New Roman" w:eastAsia="宋体" w:cs="Times New Roman"/>
          <w:sz w:val="24"/>
          <w:szCs w:val="24"/>
        </w:rPr>
        <w:t>占</w:t>
      </w:r>
      <w:r>
        <w:rPr>
          <w:rFonts w:hint="eastAsia" w:ascii="Times New Roman" w:hAnsi="Times New Roman" w:eastAsia="宋体" w:cs="Times New Roman"/>
          <w:sz w:val="24"/>
          <w:szCs w:val="24"/>
        </w:rPr>
        <w:t>专科</w:t>
      </w:r>
      <w:r>
        <w:rPr>
          <w:rFonts w:ascii="Times New Roman" w:hAnsi="Times New Roman" w:eastAsia="宋体" w:cs="Times New Roman"/>
          <w:sz w:val="24"/>
          <w:szCs w:val="24"/>
        </w:rPr>
        <w:t>毕业生总人数的</w:t>
      </w:r>
      <w:r>
        <w:rPr>
          <w:rFonts w:hint="eastAsia" w:ascii="Times New Roman" w:hAnsi="Times New Roman" w:eastAsia="宋体" w:cs="Times New Roman"/>
          <w:sz w:val="24"/>
          <w:szCs w:val="24"/>
        </w:rPr>
        <w:t>15.00</w:t>
      </w:r>
      <w:r>
        <w:rPr>
          <w:rFonts w:ascii="Times New Roman" w:hAnsi="Times New Roman" w:eastAsia="宋体" w:cs="Times New Roman"/>
          <w:sz w:val="24"/>
          <w:szCs w:val="24"/>
        </w:rPr>
        <w:t>%；</w:t>
      </w:r>
      <w:r>
        <w:rPr>
          <w:rFonts w:hint="eastAsia" w:ascii="Times New Roman" w:hAnsi="Times New Roman" w:eastAsia="宋体" w:cs="Times New Roman"/>
          <w:sz w:val="24"/>
          <w:szCs w:val="24"/>
        </w:rPr>
        <w:t>主持与播音、广告设计与制作，分别</w:t>
      </w:r>
      <w:r>
        <w:rPr>
          <w:rFonts w:ascii="Times New Roman" w:hAnsi="Times New Roman" w:eastAsia="宋体" w:cs="Times New Roman"/>
          <w:sz w:val="24"/>
          <w:szCs w:val="24"/>
        </w:rPr>
        <w:t>占</w:t>
      </w:r>
      <w:r>
        <w:rPr>
          <w:rFonts w:hint="eastAsia" w:ascii="Times New Roman" w:hAnsi="Times New Roman" w:eastAsia="宋体" w:cs="Times New Roman"/>
          <w:sz w:val="24"/>
          <w:szCs w:val="24"/>
        </w:rPr>
        <w:t>专科</w:t>
      </w:r>
      <w:r>
        <w:rPr>
          <w:rFonts w:ascii="Times New Roman" w:hAnsi="Times New Roman" w:eastAsia="宋体" w:cs="Times New Roman"/>
          <w:sz w:val="24"/>
          <w:szCs w:val="24"/>
        </w:rPr>
        <w:t>毕业生总人数的</w:t>
      </w:r>
      <w:r>
        <w:rPr>
          <w:rFonts w:hint="eastAsia" w:ascii="Times New Roman" w:hAnsi="Times New Roman" w:eastAsia="宋体" w:cs="Times New Roman"/>
          <w:sz w:val="24"/>
          <w:szCs w:val="24"/>
        </w:rPr>
        <w:t>13.42</w:t>
      </w:r>
      <w:r>
        <w:rPr>
          <w:rFonts w:ascii="Times New Roman" w:hAnsi="Times New Roman" w:eastAsia="宋体" w:cs="Times New Roman"/>
          <w:sz w:val="24"/>
          <w:szCs w:val="24"/>
        </w:rPr>
        <w:t>%。</w:t>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表1-5 2017届专科毕业生的专业分布</w:t>
      </w:r>
    </w:p>
    <w:tbl>
      <w:tblPr>
        <w:tblStyle w:val="26"/>
        <w:tblW w:w="6678" w:type="dxa"/>
        <w:jc w:val="center"/>
        <w:tblInd w:w="0" w:type="dxa"/>
        <w:tblLayout w:type="fixed"/>
        <w:tblCellMar>
          <w:top w:w="0" w:type="dxa"/>
          <w:left w:w="108" w:type="dxa"/>
          <w:bottom w:w="0" w:type="dxa"/>
          <w:right w:w="108" w:type="dxa"/>
        </w:tblCellMar>
      </w:tblPr>
      <w:tblGrid>
        <w:gridCol w:w="2425"/>
        <w:gridCol w:w="1276"/>
        <w:gridCol w:w="1843"/>
        <w:gridCol w:w="1134"/>
      </w:tblGrid>
      <w:tr>
        <w:tblPrEx>
          <w:tblLayout w:type="fixed"/>
          <w:tblCellMar>
            <w:top w:w="0" w:type="dxa"/>
            <w:left w:w="108" w:type="dxa"/>
            <w:bottom w:w="0" w:type="dxa"/>
            <w:right w:w="108" w:type="dxa"/>
          </w:tblCellMar>
        </w:tblPrEx>
        <w:trPr>
          <w:trHeight w:val="567" w:hRule="atLeast"/>
          <w:jc w:val="center"/>
        </w:trPr>
        <w:tc>
          <w:tcPr>
            <w:tcW w:w="2425" w:type="dxa"/>
            <w:tcBorders>
              <w:top w:val="single" w:color="4BACC6" w:sz="8" w:space="0"/>
              <w:left w:val="single" w:color="4BACC6" w:sz="8" w:space="0"/>
              <w:bottom w:val="single" w:color="FFFFFF" w:sz="4" w:space="0"/>
              <w:right w:val="single" w:color="4BACC6" w:sz="8" w:space="0"/>
            </w:tcBorders>
            <w:shd w:val="clear" w:color="auto" w:fill="4BACC6"/>
            <w:vAlign w:val="center"/>
          </w:tcPr>
          <w:p>
            <w:pPr>
              <w:widowControl/>
              <w:jc w:val="center"/>
              <w:rPr>
                <w:rFonts w:ascii="Arial" w:hAnsi="Arial" w:eastAsia="宋体" w:cs="Arial"/>
                <w:b/>
                <w:kern w:val="0"/>
                <w:sz w:val="20"/>
                <w:szCs w:val="20"/>
              </w:rPr>
            </w:pPr>
            <w:r>
              <w:rPr>
                <w:rFonts w:hint="eastAsia" w:ascii="Arial" w:hAnsi="Arial" w:eastAsia="宋体" w:cs="Arial"/>
                <w:b/>
                <w:kern w:val="0"/>
                <w:sz w:val="20"/>
                <w:szCs w:val="20"/>
              </w:rPr>
              <w:t>学院</w:t>
            </w:r>
          </w:p>
        </w:tc>
        <w:tc>
          <w:tcPr>
            <w:tcW w:w="1276" w:type="dxa"/>
            <w:tcBorders>
              <w:top w:val="single" w:color="4BACC6" w:sz="8" w:space="0"/>
              <w:left w:val="single" w:color="4BACC6" w:sz="8" w:space="0"/>
              <w:bottom w:val="single" w:color="FFFFFF" w:sz="4" w:space="0"/>
              <w:right w:val="single" w:color="4BACC6" w:sz="8" w:space="0"/>
            </w:tcBorders>
            <w:shd w:val="clear" w:color="auto" w:fill="4BACC6"/>
            <w:vAlign w:val="center"/>
          </w:tcPr>
          <w:p>
            <w:pPr>
              <w:widowControl/>
              <w:jc w:val="center"/>
              <w:rPr>
                <w:rFonts w:ascii="Arial" w:hAnsi="Arial" w:eastAsia="宋体" w:cs="Arial"/>
                <w:b/>
                <w:kern w:val="0"/>
                <w:sz w:val="20"/>
                <w:szCs w:val="20"/>
              </w:rPr>
            </w:pPr>
            <w:r>
              <w:rPr>
                <w:rFonts w:hint="eastAsia" w:ascii="Arial" w:hAnsi="Arial" w:eastAsia="宋体" w:cs="Arial"/>
                <w:b/>
                <w:kern w:val="0"/>
                <w:sz w:val="20"/>
                <w:szCs w:val="20"/>
              </w:rPr>
              <w:t>学院总人数</w:t>
            </w:r>
          </w:p>
        </w:tc>
        <w:tc>
          <w:tcPr>
            <w:tcW w:w="1843" w:type="dxa"/>
            <w:tcBorders>
              <w:top w:val="single" w:color="4BACC6" w:sz="8" w:space="0"/>
              <w:left w:val="single" w:color="4BACC6" w:sz="8" w:space="0"/>
              <w:bottom w:val="single" w:color="FFFFFF" w:sz="4" w:space="0"/>
              <w:right w:val="single" w:color="4BACC6" w:sz="8" w:space="0"/>
            </w:tcBorders>
            <w:shd w:val="clear" w:color="auto" w:fill="4BACC6"/>
            <w:vAlign w:val="center"/>
          </w:tcPr>
          <w:p>
            <w:pPr>
              <w:widowControl/>
              <w:jc w:val="center"/>
              <w:rPr>
                <w:rFonts w:ascii="Arial" w:hAnsi="Arial" w:eastAsia="宋体" w:cs="Arial"/>
                <w:b/>
                <w:kern w:val="0"/>
                <w:sz w:val="20"/>
                <w:szCs w:val="20"/>
              </w:rPr>
            </w:pPr>
            <w:r>
              <w:rPr>
                <w:rFonts w:hint="eastAsia" w:ascii="Arial" w:hAnsi="Arial" w:eastAsia="宋体" w:cs="Arial"/>
                <w:b/>
                <w:kern w:val="0"/>
                <w:sz w:val="20"/>
                <w:szCs w:val="20"/>
              </w:rPr>
              <w:t>专业</w:t>
            </w:r>
          </w:p>
        </w:tc>
        <w:tc>
          <w:tcPr>
            <w:tcW w:w="1134" w:type="dxa"/>
            <w:tcBorders>
              <w:top w:val="single" w:color="4BACC6" w:sz="8" w:space="0"/>
              <w:left w:val="single" w:color="4BACC6" w:sz="8" w:space="0"/>
              <w:bottom w:val="single" w:color="FFFFFF" w:sz="4" w:space="0"/>
              <w:right w:val="single" w:color="4BACC6" w:sz="8" w:space="0"/>
            </w:tcBorders>
            <w:shd w:val="clear" w:color="auto" w:fill="4BACC6"/>
            <w:vAlign w:val="center"/>
          </w:tcPr>
          <w:p>
            <w:pPr>
              <w:widowControl/>
              <w:jc w:val="center"/>
              <w:rPr>
                <w:rFonts w:ascii="Arial" w:hAnsi="Arial" w:eastAsia="宋体" w:cs="Arial"/>
                <w:b/>
                <w:kern w:val="0"/>
                <w:sz w:val="20"/>
                <w:szCs w:val="20"/>
              </w:rPr>
            </w:pPr>
            <w:r>
              <w:rPr>
                <w:rFonts w:hint="eastAsia" w:ascii="Arial" w:hAnsi="Arial" w:eastAsia="宋体" w:cs="Arial"/>
                <w:b/>
                <w:kern w:val="0"/>
                <w:sz w:val="20"/>
                <w:szCs w:val="20"/>
              </w:rPr>
              <w:t>专业人数</w:t>
            </w:r>
          </w:p>
        </w:tc>
      </w:tr>
      <w:tr>
        <w:tblPrEx>
          <w:tblLayout w:type="fixed"/>
          <w:tblCellMar>
            <w:top w:w="0" w:type="dxa"/>
            <w:left w:w="108" w:type="dxa"/>
            <w:bottom w:w="0" w:type="dxa"/>
            <w:right w:w="108" w:type="dxa"/>
          </w:tblCellMar>
        </w:tblPrEx>
        <w:trPr>
          <w:trHeight w:val="284" w:hRule="atLeast"/>
          <w:jc w:val="center"/>
        </w:trPr>
        <w:tc>
          <w:tcPr>
            <w:tcW w:w="2425" w:type="dxa"/>
            <w:vMerge w:val="restart"/>
            <w:tcBorders>
              <w:top w:val="single" w:color="FFFFFF" w:sz="0" w:space="0"/>
              <w:left w:val="single" w:color="4BACC6" w:sz="8" w:space="0"/>
              <w:bottom w:val="single" w:color="4BACC6" w:sz="8" w:space="0"/>
              <w:right w:val="single" w:color="4BACC6" w:sz="8" w:space="0"/>
            </w:tcBorders>
            <w:shd w:val="clear" w:color="auto" w:fill="B7DDE8"/>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表演艺术学院</w:t>
            </w:r>
          </w:p>
        </w:tc>
        <w:tc>
          <w:tcPr>
            <w:tcW w:w="1276" w:type="dxa"/>
            <w:vMerge w:val="restart"/>
            <w:tcBorders>
              <w:top w:val="single" w:color="FFFFFF" w:sz="0" w:space="0"/>
              <w:left w:val="single" w:color="4BACC6" w:sz="8" w:space="0"/>
              <w:bottom w:val="single" w:color="4BACC6" w:sz="8" w:space="0"/>
              <w:right w:val="single" w:color="4BACC6" w:sz="8" w:space="0"/>
            </w:tcBorders>
            <w:shd w:val="clear" w:color="auto" w:fill="B7DDE8"/>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64</w:t>
            </w:r>
          </w:p>
        </w:tc>
        <w:tc>
          <w:tcPr>
            <w:tcW w:w="1843" w:type="dxa"/>
            <w:tcBorders>
              <w:top w:val="single" w:color="FFFFFF" w:sz="0" w:space="0"/>
              <w:left w:val="single" w:color="4BACC6" w:sz="8" w:space="0"/>
              <w:bottom w:val="single" w:color="4BACC6" w:sz="8" w:space="0"/>
              <w:right w:val="single" w:color="4BACC6" w:sz="8" w:space="0"/>
            </w:tcBorders>
            <w:shd w:val="clear" w:color="auto" w:fill="B7DDE8"/>
            <w:vAlign w:val="bottom"/>
          </w:tcPr>
          <w:p>
            <w:pPr>
              <w:widowControl/>
              <w:jc w:val="left"/>
              <w:rPr>
                <w:rFonts w:ascii="Arial" w:hAnsi="Arial" w:eastAsia="宋体" w:cs="Arial"/>
                <w:kern w:val="0"/>
                <w:sz w:val="20"/>
                <w:szCs w:val="20"/>
              </w:rPr>
            </w:pPr>
            <w:r>
              <w:rPr>
                <w:rFonts w:ascii="Arial" w:hAnsi="Arial" w:eastAsia="宋体" w:cs="Arial"/>
                <w:kern w:val="0"/>
                <w:sz w:val="20"/>
                <w:szCs w:val="20"/>
              </w:rPr>
              <w:t>音乐表演</w:t>
            </w:r>
          </w:p>
        </w:tc>
        <w:tc>
          <w:tcPr>
            <w:tcW w:w="1134" w:type="dxa"/>
            <w:tcBorders>
              <w:top w:val="single" w:color="FFFFFF" w:sz="0" w:space="0"/>
              <w:left w:val="single" w:color="4BACC6" w:sz="8" w:space="0"/>
              <w:bottom w:val="single" w:color="4BACC6" w:sz="8" w:space="0"/>
              <w:right w:val="single" w:color="4BACC6" w:sz="8" w:space="0"/>
            </w:tcBorders>
            <w:shd w:val="clear" w:color="auto" w:fill="B7DDE8"/>
            <w:vAlign w:val="bottom"/>
          </w:tcPr>
          <w:p>
            <w:pPr>
              <w:widowControl/>
              <w:jc w:val="center"/>
              <w:rPr>
                <w:rFonts w:ascii="Arial" w:hAnsi="Arial" w:eastAsia="宋体" w:cs="Arial"/>
                <w:kern w:val="0"/>
                <w:sz w:val="20"/>
                <w:szCs w:val="20"/>
              </w:rPr>
            </w:pPr>
            <w:r>
              <w:rPr>
                <w:rFonts w:ascii="Arial" w:hAnsi="Arial" w:eastAsia="宋体" w:cs="Arial"/>
                <w:kern w:val="0"/>
                <w:sz w:val="20"/>
                <w:szCs w:val="20"/>
              </w:rPr>
              <w:t>32</w:t>
            </w:r>
          </w:p>
        </w:tc>
      </w:tr>
      <w:tr>
        <w:tblPrEx>
          <w:tblLayout w:type="fixed"/>
          <w:tblCellMar>
            <w:top w:w="0" w:type="dxa"/>
            <w:left w:w="108" w:type="dxa"/>
            <w:bottom w:w="0" w:type="dxa"/>
            <w:right w:w="108" w:type="dxa"/>
          </w:tblCellMar>
        </w:tblPrEx>
        <w:trPr>
          <w:trHeight w:val="284" w:hRule="atLeast"/>
          <w:jc w:val="center"/>
        </w:trPr>
        <w:tc>
          <w:tcPr>
            <w:tcW w:w="2425"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rPr>
                <w:rFonts w:ascii="Arial" w:hAnsi="Arial" w:eastAsia="宋体" w:cs="Arial"/>
                <w:kern w:val="0"/>
                <w:sz w:val="20"/>
                <w:szCs w:val="20"/>
              </w:rPr>
            </w:pPr>
          </w:p>
        </w:tc>
        <w:tc>
          <w:tcPr>
            <w:tcW w:w="1276"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rPr>
                <w:rFonts w:ascii="Arial" w:hAnsi="Arial" w:eastAsia="宋体" w:cs="Arial"/>
                <w:kern w:val="0"/>
                <w:sz w:val="20"/>
                <w:szCs w:val="20"/>
              </w:rPr>
            </w:pPr>
          </w:p>
        </w:tc>
        <w:tc>
          <w:tcPr>
            <w:tcW w:w="1843"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left"/>
              <w:rPr>
                <w:rFonts w:ascii="Arial" w:hAnsi="Arial" w:eastAsia="宋体" w:cs="Arial"/>
                <w:kern w:val="0"/>
                <w:sz w:val="20"/>
                <w:szCs w:val="20"/>
              </w:rPr>
            </w:pPr>
            <w:r>
              <w:rPr>
                <w:rFonts w:ascii="Arial" w:hAnsi="Arial" w:eastAsia="宋体" w:cs="Arial"/>
                <w:kern w:val="0"/>
                <w:sz w:val="20"/>
                <w:szCs w:val="20"/>
              </w:rPr>
              <w:t>影视表演</w:t>
            </w:r>
          </w:p>
        </w:tc>
        <w:tc>
          <w:tcPr>
            <w:tcW w:w="113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rPr>
                <w:rFonts w:ascii="Arial" w:hAnsi="Arial" w:eastAsia="宋体" w:cs="Arial"/>
                <w:kern w:val="0"/>
                <w:sz w:val="20"/>
                <w:szCs w:val="20"/>
              </w:rPr>
            </w:pPr>
            <w:r>
              <w:rPr>
                <w:rFonts w:ascii="Arial" w:hAnsi="Arial" w:eastAsia="宋体" w:cs="Arial"/>
                <w:kern w:val="0"/>
                <w:sz w:val="20"/>
                <w:szCs w:val="20"/>
              </w:rPr>
              <w:t>32</w:t>
            </w:r>
          </w:p>
        </w:tc>
      </w:tr>
      <w:tr>
        <w:tblPrEx>
          <w:tblLayout w:type="fixed"/>
          <w:tblCellMar>
            <w:top w:w="0" w:type="dxa"/>
            <w:left w:w="108" w:type="dxa"/>
            <w:bottom w:w="0" w:type="dxa"/>
            <w:right w:w="108" w:type="dxa"/>
          </w:tblCellMar>
        </w:tblPrEx>
        <w:trPr>
          <w:trHeight w:val="284" w:hRule="atLeast"/>
          <w:jc w:val="center"/>
        </w:trPr>
        <w:tc>
          <w:tcPr>
            <w:tcW w:w="2425"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动画学院</w:t>
            </w:r>
          </w:p>
        </w:tc>
        <w:tc>
          <w:tcPr>
            <w:tcW w:w="1276"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15</w:t>
            </w:r>
          </w:p>
        </w:tc>
        <w:tc>
          <w:tcPr>
            <w:tcW w:w="1843"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left"/>
              <w:rPr>
                <w:rFonts w:ascii="Arial" w:hAnsi="Arial" w:eastAsia="宋体" w:cs="Arial"/>
                <w:kern w:val="0"/>
                <w:sz w:val="20"/>
                <w:szCs w:val="20"/>
              </w:rPr>
            </w:pPr>
            <w:r>
              <w:rPr>
                <w:rFonts w:ascii="Arial" w:hAnsi="Arial" w:eastAsia="宋体" w:cs="Arial"/>
                <w:kern w:val="0"/>
                <w:sz w:val="20"/>
                <w:szCs w:val="20"/>
              </w:rPr>
              <w:t>影视动画</w:t>
            </w:r>
          </w:p>
        </w:tc>
        <w:tc>
          <w:tcPr>
            <w:tcW w:w="113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15</w:t>
            </w:r>
          </w:p>
        </w:tc>
      </w:tr>
      <w:tr>
        <w:tblPrEx>
          <w:tblLayout w:type="fixed"/>
          <w:tblCellMar>
            <w:top w:w="0" w:type="dxa"/>
            <w:left w:w="108" w:type="dxa"/>
            <w:bottom w:w="0" w:type="dxa"/>
            <w:right w:w="108" w:type="dxa"/>
          </w:tblCellMar>
        </w:tblPrEx>
        <w:trPr>
          <w:trHeight w:val="284" w:hRule="atLeast"/>
          <w:jc w:val="center"/>
        </w:trPr>
        <w:tc>
          <w:tcPr>
            <w:tcW w:w="2425"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舞蹈艺术学院</w:t>
            </w:r>
          </w:p>
        </w:tc>
        <w:tc>
          <w:tcPr>
            <w:tcW w:w="1276"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59</w:t>
            </w:r>
          </w:p>
        </w:tc>
        <w:tc>
          <w:tcPr>
            <w:tcW w:w="1843"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left"/>
              <w:rPr>
                <w:rFonts w:ascii="Arial" w:hAnsi="Arial" w:eastAsia="宋体" w:cs="Arial"/>
                <w:kern w:val="0"/>
                <w:sz w:val="20"/>
                <w:szCs w:val="20"/>
              </w:rPr>
            </w:pPr>
            <w:r>
              <w:rPr>
                <w:rFonts w:ascii="Arial" w:hAnsi="Arial" w:eastAsia="宋体" w:cs="Arial"/>
                <w:kern w:val="0"/>
                <w:sz w:val="20"/>
                <w:szCs w:val="20"/>
              </w:rPr>
              <w:t>舞蹈表演</w:t>
            </w:r>
          </w:p>
        </w:tc>
        <w:tc>
          <w:tcPr>
            <w:tcW w:w="113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rPr>
                <w:rFonts w:ascii="Arial" w:hAnsi="Arial" w:eastAsia="宋体" w:cs="Arial"/>
                <w:kern w:val="0"/>
                <w:sz w:val="20"/>
                <w:szCs w:val="20"/>
              </w:rPr>
            </w:pPr>
            <w:r>
              <w:rPr>
                <w:rFonts w:ascii="Arial" w:hAnsi="Arial" w:eastAsia="宋体" w:cs="Arial"/>
                <w:kern w:val="0"/>
                <w:sz w:val="20"/>
                <w:szCs w:val="20"/>
              </w:rPr>
              <w:t>59</w:t>
            </w:r>
          </w:p>
        </w:tc>
      </w:tr>
      <w:tr>
        <w:tblPrEx>
          <w:tblLayout w:type="fixed"/>
          <w:tblCellMar>
            <w:top w:w="0" w:type="dxa"/>
            <w:left w:w="108" w:type="dxa"/>
            <w:bottom w:w="0" w:type="dxa"/>
            <w:right w:w="108" w:type="dxa"/>
          </w:tblCellMar>
        </w:tblPrEx>
        <w:trPr>
          <w:trHeight w:val="284" w:hRule="atLeast"/>
          <w:jc w:val="center"/>
        </w:trPr>
        <w:tc>
          <w:tcPr>
            <w:tcW w:w="2425" w:type="dxa"/>
            <w:vMerge w:val="restart"/>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新闻传播学院</w:t>
            </w:r>
          </w:p>
        </w:tc>
        <w:tc>
          <w:tcPr>
            <w:tcW w:w="1276" w:type="dxa"/>
            <w:vMerge w:val="restart"/>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130</w:t>
            </w:r>
          </w:p>
        </w:tc>
        <w:tc>
          <w:tcPr>
            <w:tcW w:w="1843"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left"/>
              <w:rPr>
                <w:rFonts w:ascii="Arial" w:hAnsi="Arial" w:eastAsia="宋体" w:cs="Arial"/>
                <w:kern w:val="0"/>
                <w:sz w:val="20"/>
                <w:szCs w:val="20"/>
              </w:rPr>
            </w:pPr>
            <w:r>
              <w:rPr>
                <w:rFonts w:ascii="Arial" w:hAnsi="Arial" w:eastAsia="宋体" w:cs="Arial"/>
                <w:kern w:val="0"/>
                <w:sz w:val="20"/>
                <w:szCs w:val="20"/>
              </w:rPr>
              <w:t>新闻采编与制作</w:t>
            </w:r>
          </w:p>
        </w:tc>
        <w:tc>
          <w:tcPr>
            <w:tcW w:w="113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rPr>
                <w:rFonts w:ascii="Arial" w:hAnsi="Arial" w:eastAsia="宋体" w:cs="Arial"/>
                <w:kern w:val="0"/>
                <w:sz w:val="20"/>
                <w:szCs w:val="20"/>
              </w:rPr>
            </w:pPr>
            <w:r>
              <w:rPr>
                <w:rFonts w:ascii="Arial" w:hAnsi="Arial" w:eastAsia="宋体" w:cs="Arial"/>
                <w:kern w:val="0"/>
                <w:sz w:val="20"/>
                <w:szCs w:val="20"/>
              </w:rPr>
              <w:t>37</w:t>
            </w:r>
          </w:p>
        </w:tc>
      </w:tr>
      <w:tr>
        <w:tblPrEx>
          <w:tblLayout w:type="fixed"/>
          <w:tblCellMar>
            <w:top w:w="0" w:type="dxa"/>
            <w:left w:w="108" w:type="dxa"/>
            <w:bottom w:w="0" w:type="dxa"/>
            <w:right w:w="108" w:type="dxa"/>
          </w:tblCellMar>
        </w:tblPrEx>
        <w:trPr>
          <w:trHeight w:val="284" w:hRule="atLeast"/>
          <w:jc w:val="center"/>
        </w:trPr>
        <w:tc>
          <w:tcPr>
            <w:tcW w:w="2425"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rPr>
                <w:rFonts w:ascii="Arial" w:hAnsi="Arial" w:eastAsia="宋体" w:cs="Arial"/>
                <w:kern w:val="0"/>
                <w:sz w:val="20"/>
                <w:szCs w:val="20"/>
              </w:rPr>
            </w:pPr>
          </w:p>
        </w:tc>
        <w:tc>
          <w:tcPr>
            <w:tcW w:w="1276"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rPr>
                <w:rFonts w:ascii="Arial" w:hAnsi="Arial" w:eastAsia="宋体" w:cs="Arial"/>
                <w:kern w:val="0"/>
                <w:sz w:val="20"/>
                <w:szCs w:val="20"/>
              </w:rPr>
            </w:pPr>
          </w:p>
        </w:tc>
        <w:tc>
          <w:tcPr>
            <w:tcW w:w="1843"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left"/>
              <w:rPr>
                <w:rFonts w:ascii="Arial" w:hAnsi="Arial" w:eastAsia="宋体" w:cs="Arial"/>
                <w:kern w:val="0"/>
                <w:sz w:val="20"/>
                <w:szCs w:val="20"/>
              </w:rPr>
            </w:pPr>
            <w:r>
              <w:rPr>
                <w:rFonts w:ascii="Arial" w:hAnsi="Arial" w:eastAsia="宋体" w:cs="Arial"/>
                <w:kern w:val="0"/>
                <w:sz w:val="20"/>
                <w:szCs w:val="20"/>
              </w:rPr>
              <w:t>主持与播音</w:t>
            </w:r>
          </w:p>
        </w:tc>
        <w:tc>
          <w:tcPr>
            <w:tcW w:w="113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rPr>
                <w:rFonts w:ascii="Arial" w:hAnsi="Arial" w:eastAsia="宋体" w:cs="Arial"/>
                <w:kern w:val="0"/>
                <w:sz w:val="20"/>
                <w:szCs w:val="20"/>
              </w:rPr>
            </w:pPr>
            <w:r>
              <w:rPr>
                <w:rFonts w:ascii="Arial" w:hAnsi="Arial" w:eastAsia="宋体" w:cs="Arial"/>
                <w:kern w:val="0"/>
                <w:sz w:val="20"/>
                <w:szCs w:val="20"/>
              </w:rPr>
              <w:t>93</w:t>
            </w:r>
          </w:p>
        </w:tc>
      </w:tr>
      <w:tr>
        <w:tblPrEx>
          <w:tblLayout w:type="fixed"/>
          <w:tblCellMar>
            <w:top w:w="0" w:type="dxa"/>
            <w:left w:w="108" w:type="dxa"/>
            <w:bottom w:w="0" w:type="dxa"/>
            <w:right w:w="108" w:type="dxa"/>
          </w:tblCellMar>
        </w:tblPrEx>
        <w:trPr>
          <w:trHeight w:val="284" w:hRule="atLeast"/>
          <w:jc w:val="center"/>
        </w:trPr>
        <w:tc>
          <w:tcPr>
            <w:tcW w:w="2425" w:type="dxa"/>
            <w:vMerge w:val="restart"/>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信息技术与文化管理学院</w:t>
            </w:r>
          </w:p>
        </w:tc>
        <w:tc>
          <w:tcPr>
            <w:tcW w:w="1276" w:type="dxa"/>
            <w:vMerge w:val="restart"/>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42</w:t>
            </w:r>
          </w:p>
        </w:tc>
        <w:tc>
          <w:tcPr>
            <w:tcW w:w="1843"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left"/>
              <w:rPr>
                <w:rFonts w:ascii="Arial" w:hAnsi="Arial" w:eastAsia="宋体" w:cs="Arial"/>
                <w:kern w:val="0"/>
                <w:sz w:val="20"/>
                <w:szCs w:val="20"/>
              </w:rPr>
            </w:pPr>
            <w:r>
              <w:rPr>
                <w:rFonts w:ascii="Arial" w:hAnsi="Arial" w:eastAsia="宋体" w:cs="Arial"/>
                <w:kern w:val="0"/>
                <w:sz w:val="20"/>
                <w:szCs w:val="20"/>
              </w:rPr>
              <w:t>计算机信息管理</w:t>
            </w:r>
          </w:p>
        </w:tc>
        <w:tc>
          <w:tcPr>
            <w:tcW w:w="113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12</w:t>
            </w:r>
          </w:p>
        </w:tc>
      </w:tr>
      <w:tr>
        <w:tblPrEx>
          <w:tblLayout w:type="fixed"/>
          <w:tblCellMar>
            <w:top w:w="0" w:type="dxa"/>
            <w:left w:w="108" w:type="dxa"/>
            <w:bottom w:w="0" w:type="dxa"/>
            <w:right w:w="108" w:type="dxa"/>
          </w:tblCellMar>
        </w:tblPrEx>
        <w:trPr>
          <w:trHeight w:val="284" w:hRule="atLeast"/>
          <w:jc w:val="center"/>
        </w:trPr>
        <w:tc>
          <w:tcPr>
            <w:tcW w:w="2425"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rPr>
                <w:rFonts w:ascii="Arial" w:hAnsi="Arial" w:eastAsia="宋体" w:cs="Arial"/>
                <w:kern w:val="0"/>
                <w:sz w:val="20"/>
                <w:szCs w:val="20"/>
              </w:rPr>
            </w:pPr>
          </w:p>
        </w:tc>
        <w:tc>
          <w:tcPr>
            <w:tcW w:w="1276"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rPr>
                <w:rFonts w:ascii="Arial" w:hAnsi="Arial" w:eastAsia="宋体" w:cs="Arial"/>
                <w:kern w:val="0"/>
                <w:sz w:val="20"/>
                <w:szCs w:val="20"/>
              </w:rPr>
            </w:pPr>
          </w:p>
        </w:tc>
        <w:tc>
          <w:tcPr>
            <w:tcW w:w="1843"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left"/>
              <w:rPr>
                <w:rFonts w:ascii="Arial" w:hAnsi="Arial" w:eastAsia="宋体" w:cs="Arial"/>
                <w:kern w:val="0"/>
                <w:sz w:val="20"/>
                <w:szCs w:val="20"/>
              </w:rPr>
            </w:pPr>
            <w:r>
              <w:rPr>
                <w:rFonts w:ascii="Arial" w:hAnsi="Arial" w:eastAsia="宋体" w:cs="Arial"/>
                <w:kern w:val="0"/>
                <w:sz w:val="20"/>
                <w:szCs w:val="20"/>
              </w:rPr>
              <w:t>文化事业管理</w:t>
            </w:r>
          </w:p>
        </w:tc>
        <w:tc>
          <w:tcPr>
            <w:tcW w:w="113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19</w:t>
            </w:r>
          </w:p>
        </w:tc>
      </w:tr>
      <w:tr>
        <w:tblPrEx>
          <w:tblLayout w:type="fixed"/>
          <w:tblCellMar>
            <w:top w:w="0" w:type="dxa"/>
            <w:left w:w="108" w:type="dxa"/>
            <w:bottom w:w="0" w:type="dxa"/>
            <w:right w:w="108" w:type="dxa"/>
          </w:tblCellMar>
        </w:tblPrEx>
        <w:trPr>
          <w:trHeight w:val="284" w:hRule="atLeast"/>
          <w:jc w:val="center"/>
        </w:trPr>
        <w:tc>
          <w:tcPr>
            <w:tcW w:w="2425"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rPr>
                <w:rFonts w:ascii="Arial" w:hAnsi="Arial" w:eastAsia="宋体" w:cs="Arial"/>
                <w:kern w:val="0"/>
                <w:sz w:val="20"/>
                <w:szCs w:val="20"/>
              </w:rPr>
            </w:pPr>
          </w:p>
        </w:tc>
        <w:tc>
          <w:tcPr>
            <w:tcW w:w="1276"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rPr>
                <w:rFonts w:ascii="Arial" w:hAnsi="Arial" w:eastAsia="宋体" w:cs="Arial"/>
                <w:kern w:val="0"/>
                <w:sz w:val="20"/>
                <w:szCs w:val="20"/>
              </w:rPr>
            </w:pPr>
          </w:p>
        </w:tc>
        <w:tc>
          <w:tcPr>
            <w:tcW w:w="1843"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left"/>
              <w:rPr>
                <w:rFonts w:ascii="Arial" w:hAnsi="Arial" w:eastAsia="宋体" w:cs="Arial"/>
                <w:kern w:val="0"/>
                <w:sz w:val="20"/>
                <w:szCs w:val="20"/>
              </w:rPr>
            </w:pPr>
            <w:r>
              <w:rPr>
                <w:rFonts w:ascii="Arial" w:hAnsi="Arial" w:eastAsia="宋体" w:cs="Arial"/>
                <w:kern w:val="0"/>
                <w:sz w:val="20"/>
                <w:szCs w:val="20"/>
              </w:rPr>
              <w:t>影视多媒体技术</w:t>
            </w:r>
          </w:p>
        </w:tc>
        <w:tc>
          <w:tcPr>
            <w:tcW w:w="113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11</w:t>
            </w:r>
          </w:p>
        </w:tc>
      </w:tr>
      <w:tr>
        <w:tblPrEx>
          <w:tblLayout w:type="fixed"/>
          <w:tblCellMar>
            <w:top w:w="0" w:type="dxa"/>
            <w:left w:w="108" w:type="dxa"/>
            <w:bottom w:w="0" w:type="dxa"/>
            <w:right w:w="108" w:type="dxa"/>
          </w:tblCellMar>
        </w:tblPrEx>
        <w:trPr>
          <w:trHeight w:val="284" w:hRule="atLeast"/>
          <w:jc w:val="center"/>
        </w:trPr>
        <w:tc>
          <w:tcPr>
            <w:tcW w:w="2425" w:type="dxa"/>
            <w:vMerge w:val="restart"/>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艺术设计学院</w:t>
            </w:r>
          </w:p>
        </w:tc>
        <w:tc>
          <w:tcPr>
            <w:tcW w:w="1276" w:type="dxa"/>
            <w:vMerge w:val="restart"/>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215</w:t>
            </w:r>
          </w:p>
        </w:tc>
        <w:tc>
          <w:tcPr>
            <w:tcW w:w="1843"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left"/>
              <w:rPr>
                <w:rFonts w:ascii="Arial" w:hAnsi="Arial" w:eastAsia="宋体" w:cs="Arial"/>
                <w:kern w:val="0"/>
                <w:sz w:val="20"/>
                <w:szCs w:val="20"/>
              </w:rPr>
            </w:pPr>
            <w:r>
              <w:rPr>
                <w:rFonts w:ascii="Arial" w:hAnsi="Arial" w:eastAsia="宋体" w:cs="Arial"/>
                <w:kern w:val="0"/>
                <w:sz w:val="20"/>
                <w:szCs w:val="20"/>
              </w:rPr>
              <w:t>广告设计与制作</w:t>
            </w:r>
          </w:p>
        </w:tc>
        <w:tc>
          <w:tcPr>
            <w:tcW w:w="113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rPr>
                <w:rFonts w:ascii="Arial" w:hAnsi="Arial" w:eastAsia="宋体" w:cs="Arial"/>
                <w:kern w:val="0"/>
                <w:sz w:val="20"/>
                <w:szCs w:val="20"/>
              </w:rPr>
            </w:pPr>
            <w:r>
              <w:rPr>
                <w:rFonts w:ascii="Arial" w:hAnsi="Arial" w:eastAsia="宋体" w:cs="Arial"/>
                <w:kern w:val="0"/>
                <w:sz w:val="20"/>
                <w:szCs w:val="20"/>
              </w:rPr>
              <w:t>93</w:t>
            </w:r>
          </w:p>
        </w:tc>
      </w:tr>
      <w:tr>
        <w:tblPrEx>
          <w:tblLayout w:type="fixed"/>
          <w:tblCellMar>
            <w:top w:w="0" w:type="dxa"/>
            <w:left w:w="108" w:type="dxa"/>
            <w:bottom w:w="0" w:type="dxa"/>
            <w:right w:w="108" w:type="dxa"/>
          </w:tblCellMar>
        </w:tblPrEx>
        <w:trPr>
          <w:trHeight w:val="284" w:hRule="atLeast"/>
          <w:jc w:val="center"/>
        </w:trPr>
        <w:tc>
          <w:tcPr>
            <w:tcW w:w="2425"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rPr>
                <w:rFonts w:ascii="Arial" w:hAnsi="Arial" w:eastAsia="宋体" w:cs="Arial"/>
                <w:kern w:val="0"/>
                <w:sz w:val="20"/>
                <w:szCs w:val="20"/>
              </w:rPr>
            </w:pPr>
          </w:p>
        </w:tc>
        <w:tc>
          <w:tcPr>
            <w:tcW w:w="1276"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rPr>
                <w:rFonts w:ascii="Arial" w:hAnsi="Arial" w:eastAsia="宋体" w:cs="Arial"/>
                <w:kern w:val="0"/>
                <w:sz w:val="20"/>
                <w:szCs w:val="20"/>
              </w:rPr>
            </w:pPr>
          </w:p>
        </w:tc>
        <w:tc>
          <w:tcPr>
            <w:tcW w:w="1843"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left"/>
              <w:rPr>
                <w:rFonts w:ascii="Arial" w:hAnsi="Arial" w:eastAsia="宋体" w:cs="Arial"/>
                <w:kern w:val="0"/>
                <w:sz w:val="20"/>
                <w:szCs w:val="20"/>
              </w:rPr>
            </w:pPr>
            <w:r>
              <w:rPr>
                <w:rFonts w:ascii="Arial" w:hAnsi="Arial" w:eastAsia="宋体" w:cs="Arial"/>
                <w:kern w:val="0"/>
                <w:sz w:val="20"/>
                <w:szCs w:val="20"/>
              </w:rPr>
              <w:t>人物形象设计</w:t>
            </w:r>
          </w:p>
        </w:tc>
        <w:tc>
          <w:tcPr>
            <w:tcW w:w="113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rPr>
                <w:rFonts w:ascii="Arial" w:hAnsi="Arial" w:eastAsia="宋体" w:cs="Arial"/>
                <w:kern w:val="0"/>
                <w:sz w:val="20"/>
                <w:szCs w:val="20"/>
              </w:rPr>
            </w:pPr>
            <w:r>
              <w:rPr>
                <w:rFonts w:ascii="Arial" w:hAnsi="Arial" w:eastAsia="宋体" w:cs="Arial"/>
                <w:kern w:val="0"/>
                <w:sz w:val="20"/>
                <w:szCs w:val="20"/>
              </w:rPr>
              <w:t>6</w:t>
            </w:r>
          </w:p>
        </w:tc>
      </w:tr>
      <w:tr>
        <w:tblPrEx>
          <w:tblLayout w:type="fixed"/>
          <w:tblCellMar>
            <w:top w:w="0" w:type="dxa"/>
            <w:left w:w="108" w:type="dxa"/>
            <w:bottom w:w="0" w:type="dxa"/>
            <w:right w:w="108" w:type="dxa"/>
          </w:tblCellMar>
        </w:tblPrEx>
        <w:trPr>
          <w:trHeight w:val="284" w:hRule="atLeast"/>
          <w:jc w:val="center"/>
        </w:trPr>
        <w:tc>
          <w:tcPr>
            <w:tcW w:w="2425"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rPr>
                <w:rFonts w:ascii="Arial" w:hAnsi="Arial" w:eastAsia="宋体" w:cs="Arial"/>
                <w:kern w:val="0"/>
                <w:sz w:val="20"/>
                <w:szCs w:val="20"/>
              </w:rPr>
            </w:pPr>
          </w:p>
        </w:tc>
        <w:tc>
          <w:tcPr>
            <w:tcW w:w="1276"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rPr>
                <w:rFonts w:ascii="Arial" w:hAnsi="Arial" w:eastAsia="宋体" w:cs="Arial"/>
                <w:kern w:val="0"/>
                <w:sz w:val="20"/>
                <w:szCs w:val="20"/>
              </w:rPr>
            </w:pPr>
          </w:p>
        </w:tc>
        <w:tc>
          <w:tcPr>
            <w:tcW w:w="1843"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left"/>
              <w:rPr>
                <w:rFonts w:ascii="Arial" w:hAnsi="Arial" w:eastAsia="宋体" w:cs="Arial"/>
                <w:kern w:val="0"/>
                <w:sz w:val="20"/>
                <w:szCs w:val="20"/>
              </w:rPr>
            </w:pPr>
            <w:r>
              <w:rPr>
                <w:rFonts w:ascii="Arial" w:hAnsi="Arial" w:eastAsia="宋体" w:cs="Arial"/>
                <w:kern w:val="0"/>
                <w:sz w:val="20"/>
                <w:szCs w:val="20"/>
              </w:rPr>
              <w:t>艺术设计</w:t>
            </w:r>
          </w:p>
        </w:tc>
        <w:tc>
          <w:tcPr>
            <w:tcW w:w="113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107</w:t>
            </w:r>
          </w:p>
        </w:tc>
      </w:tr>
      <w:tr>
        <w:tblPrEx>
          <w:tblLayout w:type="fixed"/>
          <w:tblCellMar>
            <w:top w:w="0" w:type="dxa"/>
            <w:left w:w="108" w:type="dxa"/>
            <w:bottom w:w="0" w:type="dxa"/>
            <w:right w:w="108" w:type="dxa"/>
          </w:tblCellMar>
        </w:tblPrEx>
        <w:trPr>
          <w:trHeight w:val="284" w:hRule="atLeast"/>
          <w:jc w:val="center"/>
        </w:trPr>
        <w:tc>
          <w:tcPr>
            <w:tcW w:w="2425"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rPr>
                <w:rFonts w:ascii="Arial" w:hAnsi="Arial" w:eastAsia="宋体" w:cs="Arial"/>
                <w:kern w:val="0"/>
                <w:sz w:val="20"/>
                <w:szCs w:val="20"/>
              </w:rPr>
            </w:pPr>
          </w:p>
        </w:tc>
        <w:tc>
          <w:tcPr>
            <w:tcW w:w="1276"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rPr>
                <w:rFonts w:ascii="Arial" w:hAnsi="Arial" w:eastAsia="宋体" w:cs="Arial"/>
                <w:kern w:val="0"/>
                <w:sz w:val="20"/>
                <w:szCs w:val="20"/>
              </w:rPr>
            </w:pPr>
          </w:p>
        </w:tc>
        <w:tc>
          <w:tcPr>
            <w:tcW w:w="1843"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left"/>
              <w:rPr>
                <w:rFonts w:ascii="Arial" w:hAnsi="Arial" w:eastAsia="宋体" w:cs="Arial"/>
                <w:kern w:val="0"/>
                <w:sz w:val="20"/>
                <w:szCs w:val="20"/>
              </w:rPr>
            </w:pPr>
            <w:r>
              <w:rPr>
                <w:rFonts w:ascii="Arial" w:hAnsi="Arial" w:eastAsia="宋体" w:cs="Arial"/>
                <w:kern w:val="0"/>
                <w:sz w:val="20"/>
                <w:szCs w:val="20"/>
              </w:rPr>
              <w:t>影视广告</w:t>
            </w:r>
          </w:p>
        </w:tc>
        <w:tc>
          <w:tcPr>
            <w:tcW w:w="113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rPr>
                <w:rFonts w:ascii="Arial" w:hAnsi="Arial" w:eastAsia="宋体" w:cs="Arial"/>
                <w:kern w:val="0"/>
                <w:sz w:val="20"/>
                <w:szCs w:val="20"/>
              </w:rPr>
            </w:pPr>
            <w:r>
              <w:rPr>
                <w:rFonts w:ascii="Arial" w:hAnsi="Arial" w:eastAsia="宋体" w:cs="Arial"/>
                <w:kern w:val="0"/>
                <w:sz w:val="20"/>
                <w:szCs w:val="20"/>
              </w:rPr>
              <w:t>9</w:t>
            </w:r>
          </w:p>
        </w:tc>
      </w:tr>
      <w:tr>
        <w:tblPrEx>
          <w:tblLayout w:type="fixed"/>
          <w:tblCellMar>
            <w:top w:w="0" w:type="dxa"/>
            <w:left w:w="108" w:type="dxa"/>
            <w:bottom w:w="0" w:type="dxa"/>
            <w:right w:w="108" w:type="dxa"/>
          </w:tblCellMar>
        </w:tblPrEx>
        <w:trPr>
          <w:trHeight w:val="284" w:hRule="atLeast"/>
          <w:jc w:val="center"/>
        </w:trPr>
        <w:tc>
          <w:tcPr>
            <w:tcW w:w="2425"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艺术体育学院</w:t>
            </w:r>
          </w:p>
        </w:tc>
        <w:tc>
          <w:tcPr>
            <w:tcW w:w="1276"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15</w:t>
            </w:r>
          </w:p>
        </w:tc>
        <w:tc>
          <w:tcPr>
            <w:tcW w:w="1843"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left"/>
              <w:rPr>
                <w:rFonts w:ascii="Arial" w:hAnsi="Arial" w:eastAsia="宋体" w:cs="Arial"/>
                <w:kern w:val="0"/>
                <w:sz w:val="20"/>
                <w:szCs w:val="20"/>
              </w:rPr>
            </w:pPr>
            <w:r>
              <w:rPr>
                <w:rFonts w:ascii="Arial" w:hAnsi="Arial" w:eastAsia="宋体" w:cs="Arial"/>
                <w:kern w:val="0"/>
                <w:sz w:val="20"/>
                <w:szCs w:val="20"/>
              </w:rPr>
              <w:t>社会体育</w:t>
            </w:r>
          </w:p>
        </w:tc>
        <w:tc>
          <w:tcPr>
            <w:tcW w:w="113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15</w:t>
            </w:r>
          </w:p>
        </w:tc>
      </w:tr>
      <w:tr>
        <w:tblPrEx>
          <w:tblLayout w:type="fixed"/>
          <w:tblCellMar>
            <w:top w:w="0" w:type="dxa"/>
            <w:left w:w="108" w:type="dxa"/>
            <w:bottom w:w="0" w:type="dxa"/>
            <w:right w:w="108" w:type="dxa"/>
          </w:tblCellMar>
        </w:tblPrEx>
        <w:trPr>
          <w:trHeight w:val="284" w:hRule="atLeast"/>
          <w:jc w:val="center"/>
        </w:trPr>
        <w:tc>
          <w:tcPr>
            <w:tcW w:w="2425" w:type="dxa"/>
            <w:vMerge w:val="restart"/>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影视艺术学院</w:t>
            </w:r>
          </w:p>
        </w:tc>
        <w:tc>
          <w:tcPr>
            <w:tcW w:w="1276" w:type="dxa"/>
            <w:vMerge w:val="restart"/>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153</w:t>
            </w:r>
          </w:p>
        </w:tc>
        <w:tc>
          <w:tcPr>
            <w:tcW w:w="1843"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left"/>
              <w:rPr>
                <w:rFonts w:ascii="Arial" w:hAnsi="Arial" w:eastAsia="宋体" w:cs="Arial"/>
                <w:kern w:val="0"/>
                <w:sz w:val="20"/>
                <w:szCs w:val="20"/>
              </w:rPr>
            </w:pPr>
            <w:r>
              <w:rPr>
                <w:rFonts w:ascii="Arial" w:hAnsi="Arial" w:eastAsia="宋体" w:cs="Arial"/>
                <w:kern w:val="0"/>
                <w:sz w:val="20"/>
                <w:szCs w:val="20"/>
              </w:rPr>
              <w:t>编导</w:t>
            </w:r>
          </w:p>
        </w:tc>
        <w:tc>
          <w:tcPr>
            <w:tcW w:w="113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104</w:t>
            </w:r>
          </w:p>
        </w:tc>
      </w:tr>
      <w:tr>
        <w:tblPrEx>
          <w:tblLayout w:type="fixed"/>
          <w:tblCellMar>
            <w:top w:w="0" w:type="dxa"/>
            <w:left w:w="108" w:type="dxa"/>
            <w:bottom w:w="0" w:type="dxa"/>
            <w:right w:w="108" w:type="dxa"/>
          </w:tblCellMar>
        </w:tblPrEx>
        <w:trPr>
          <w:trHeight w:val="284" w:hRule="atLeast"/>
          <w:jc w:val="center"/>
        </w:trPr>
        <w:tc>
          <w:tcPr>
            <w:tcW w:w="2425"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left"/>
              <w:rPr>
                <w:rFonts w:ascii="Arial" w:hAnsi="Arial" w:eastAsia="宋体" w:cs="Arial"/>
                <w:kern w:val="0"/>
                <w:sz w:val="20"/>
                <w:szCs w:val="20"/>
              </w:rPr>
            </w:pPr>
          </w:p>
        </w:tc>
        <w:tc>
          <w:tcPr>
            <w:tcW w:w="1276" w:type="dxa"/>
            <w:vMerge w:val="continue"/>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left"/>
              <w:rPr>
                <w:rFonts w:ascii="Arial" w:hAnsi="Arial" w:eastAsia="宋体" w:cs="Arial"/>
                <w:kern w:val="0"/>
                <w:sz w:val="20"/>
                <w:szCs w:val="20"/>
              </w:rPr>
            </w:pPr>
          </w:p>
        </w:tc>
        <w:tc>
          <w:tcPr>
            <w:tcW w:w="1843"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电视节目制作</w:t>
            </w:r>
          </w:p>
        </w:tc>
        <w:tc>
          <w:tcPr>
            <w:tcW w:w="113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23</w:t>
            </w:r>
          </w:p>
        </w:tc>
      </w:tr>
      <w:tr>
        <w:tblPrEx>
          <w:tblLayout w:type="fixed"/>
          <w:tblCellMar>
            <w:top w:w="0" w:type="dxa"/>
            <w:left w:w="108" w:type="dxa"/>
            <w:bottom w:w="0" w:type="dxa"/>
            <w:right w:w="108" w:type="dxa"/>
          </w:tblCellMar>
        </w:tblPrEx>
        <w:trPr>
          <w:trHeight w:val="284" w:hRule="atLeast"/>
          <w:jc w:val="center"/>
        </w:trPr>
        <w:tc>
          <w:tcPr>
            <w:tcW w:w="2425"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left"/>
              <w:rPr>
                <w:rFonts w:ascii="Arial" w:hAnsi="Arial" w:eastAsia="宋体" w:cs="Arial"/>
                <w:kern w:val="0"/>
                <w:sz w:val="20"/>
                <w:szCs w:val="20"/>
              </w:rPr>
            </w:pPr>
          </w:p>
        </w:tc>
        <w:tc>
          <w:tcPr>
            <w:tcW w:w="1276" w:type="dxa"/>
            <w:vMerge w:val="continue"/>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left"/>
              <w:rPr>
                <w:rFonts w:ascii="Arial" w:hAnsi="Arial" w:eastAsia="宋体" w:cs="Arial"/>
                <w:kern w:val="0"/>
                <w:sz w:val="20"/>
                <w:szCs w:val="20"/>
              </w:rPr>
            </w:pPr>
          </w:p>
        </w:tc>
        <w:tc>
          <w:tcPr>
            <w:tcW w:w="1843"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left"/>
              <w:rPr>
                <w:rFonts w:ascii="Arial" w:hAnsi="Arial" w:eastAsia="宋体" w:cs="Arial"/>
                <w:kern w:val="0"/>
                <w:sz w:val="20"/>
                <w:szCs w:val="20"/>
              </w:rPr>
            </w:pPr>
            <w:r>
              <w:rPr>
                <w:rFonts w:ascii="Arial" w:hAnsi="Arial" w:eastAsia="宋体" w:cs="Arial"/>
                <w:kern w:val="0"/>
                <w:sz w:val="20"/>
                <w:szCs w:val="20"/>
              </w:rPr>
              <w:t>摄影摄像技术</w:t>
            </w:r>
          </w:p>
        </w:tc>
        <w:tc>
          <w:tcPr>
            <w:tcW w:w="113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26</w:t>
            </w:r>
          </w:p>
        </w:tc>
      </w:tr>
    </w:tbl>
    <w:p>
      <w:pPr>
        <w:pStyle w:val="33"/>
        <w:spacing w:before="180" w:after="180" w:afterLines="0" w:line="360" w:lineRule="auto"/>
        <w:ind w:firstLine="482" w:firstLineChars="200"/>
        <w:outlineLvl w:val="2"/>
        <w:rPr>
          <w:rFonts w:ascii="Times New Roman" w:hAnsi="Times New Roman" w:eastAsia="宋体"/>
          <w:sz w:val="24"/>
          <w:szCs w:val="24"/>
        </w:rPr>
      </w:pPr>
      <w:bookmarkStart w:id="46" w:name="_Toc430099481"/>
      <w:bookmarkStart w:id="47" w:name="_Toc429218580"/>
      <w:bookmarkStart w:id="48" w:name="_Toc501407780"/>
      <w:r>
        <w:rPr>
          <w:rFonts w:hint="eastAsia" w:ascii="Times New Roman" w:hAnsi="Times New Roman" w:eastAsia="宋体"/>
          <w:sz w:val="24"/>
          <w:szCs w:val="24"/>
        </w:rPr>
        <w:t>3</w:t>
      </w:r>
      <w:bookmarkEnd w:id="46"/>
      <w:bookmarkEnd w:id="47"/>
      <w:r>
        <w:rPr>
          <w:rFonts w:hint="eastAsia" w:ascii="Times New Roman" w:hAnsi="Times New Roman" w:eastAsia="宋体"/>
          <w:sz w:val="24"/>
          <w:szCs w:val="24"/>
        </w:rPr>
        <w:t>．2017届毕业生生源分布情况</w:t>
      </w:r>
      <w:bookmarkEnd w:id="48"/>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w:t>
      </w:r>
      <w:r>
        <w:rPr>
          <w:rFonts w:ascii="Times New Roman" w:hAnsi="Times New Roman" w:eastAsia="宋体" w:cs="Times New Roman"/>
          <w:sz w:val="24"/>
          <w:szCs w:val="24"/>
        </w:rPr>
        <w:t>2</w:t>
      </w:r>
      <w:r>
        <w:rPr>
          <w:rFonts w:hint="eastAsia" w:ascii="Times New Roman" w:hAnsi="Times New Roman" w:eastAsia="宋体" w:cs="Times New Roman"/>
          <w:sz w:val="24"/>
          <w:szCs w:val="24"/>
        </w:rPr>
        <w:t>017届专科</w:t>
      </w:r>
      <w:r>
        <w:rPr>
          <w:rFonts w:ascii="Times New Roman" w:hAnsi="Times New Roman" w:eastAsia="宋体" w:cs="Times New Roman"/>
          <w:sz w:val="24"/>
          <w:szCs w:val="24"/>
        </w:rPr>
        <w:t>毕业生</w:t>
      </w:r>
      <w:r>
        <w:rPr>
          <w:rFonts w:hint="eastAsia" w:ascii="Times New Roman" w:hAnsi="Times New Roman" w:eastAsia="宋体" w:cs="Times New Roman"/>
          <w:sz w:val="24"/>
          <w:szCs w:val="24"/>
        </w:rPr>
        <w:t>和本科</w:t>
      </w:r>
      <w:r>
        <w:rPr>
          <w:rFonts w:ascii="Times New Roman" w:hAnsi="Times New Roman" w:eastAsia="宋体" w:cs="Times New Roman"/>
          <w:sz w:val="24"/>
          <w:szCs w:val="24"/>
        </w:rPr>
        <w:t>毕业生</w:t>
      </w:r>
      <w:r>
        <w:rPr>
          <w:rFonts w:hint="eastAsia" w:ascii="Times New Roman" w:hAnsi="Times New Roman" w:eastAsia="宋体" w:cs="Times New Roman"/>
          <w:sz w:val="24"/>
          <w:szCs w:val="24"/>
        </w:rPr>
        <w:t>生源分布广泛</w:t>
      </w:r>
      <w:r>
        <w:rPr>
          <w:rFonts w:ascii="Times New Roman" w:hAnsi="Times New Roman" w:eastAsia="宋体" w:cs="Times New Roman"/>
          <w:sz w:val="24"/>
          <w:szCs w:val="24"/>
        </w:rPr>
        <w:t>，本省生源</w:t>
      </w:r>
      <w:r>
        <w:rPr>
          <w:rFonts w:hint="eastAsia" w:ascii="Times New Roman" w:hAnsi="Times New Roman" w:eastAsia="宋体" w:cs="Times New Roman"/>
          <w:sz w:val="24"/>
          <w:szCs w:val="24"/>
        </w:rPr>
        <w:t>人数最多。其中</w:t>
      </w:r>
      <w:r>
        <w:rPr>
          <w:rFonts w:ascii="Times New Roman" w:hAnsi="Times New Roman" w:eastAsia="宋体" w:cs="Times New Roman"/>
          <w:sz w:val="24"/>
          <w:szCs w:val="24"/>
        </w:rPr>
        <w:t>专科毕业生省内生源占比</w:t>
      </w:r>
      <w:r>
        <w:rPr>
          <w:rFonts w:hint="eastAsia" w:ascii="Times New Roman" w:hAnsi="Times New Roman" w:eastAsia="宋体" w:cs="Times New Roman"/>
          <w:sz w:val="24"/>
          <w:szCs w:val="24"/>
        </w:rPr>
        <w:t>81.39</w:t>
      </w:r>
      <w:r>
        <w:rPr>
          <w:rFonts w:ascii="Times New Roman" w:hAnsi="Times New Roman" w:eastAsia="宋体" w:cs="Times New Roman"/>
          <w:sz w:val="24"/>
          <w:szCs w:val="24"/>
        </w:rPr>
        <w:t>%，本科毕业生省内生源占比</w:t>
      </w:r>
      <w:r>
        <w:rPr>
          <w:rFonts w:hint="eastAsia" w:ascii="Times New Roman" w:hAnsi="Times New Roman" w:eastAsia="宋体" w:cs="Times New Roman"/>
          <w:sz w:val="24"/>
          <w:szCs w:val="24"/>
        </w:rPr>
        <w:t>59.00</w:t>
      </w:r>
      <w:r>
        <w:rPr>
          <w:rFonts w:ascii="Times New Roman" w:hAnsi="Times New Roman" w:eastAsia="宋体" w:cs="Times New Roman"/>
          <w:sz w:val="24"/>
          <w:szCs w:val="24"/>
        </w:rPr>
        <w:t>%</w:t>
      </w:r>
      <w:r>
        <w:rPr>
          <w:rFonts w:hint="eastAsia" w:ascii="Times New Roman" w:hAnsi="Times New Roman" w:eastAsia="宋体" w:cs="Times New Roman"/>
          <w:sz w:val="24"/>
          <w:szCs w:val="24"/>
        </w:rPr>
        <w:t>；</w:t>
      </w:r>
      <w:r>
        <w:rPr>
          <w:rFonts w:ascii="Times New Roman" w:hAnsi="Times New Roman" w:eastAsia="宋体" w:cs="Times New Roman"/>
          <w:sz w:val="24"/>
          <w:szCs w:val="24"/>
        </w:rPr>
        <w:t>省外生源</w:t>
      </w:r>
      <w:r>
        <w:rPr>
          <w:rFonts w:hint="eastAsia" w:ascii="Times New Roman" w:hAnsi="Times New Roman" w:eastAsia="宋体" w:cs="Times New Roman"/>
          <w:sz w:val="24"/>
          <w:szCs w:val="24"/>
        </w:rPr>
        <w:t>排名</w:t>
      </w:r>
      <w:r>
        <w:rPr>
          <w:rFonts w:ascii="Times New Roman" w:hAnsi="Times New Roman" w:eastAsia="宋体" w:cs="Times New Roman"/>
          <w:sz w:val="24"/>
          <w:szCs w:val="24"/>
        </w:rPr>
        <w:t>前三位的</w:t>
      </w:r>
      <w:r>
        <w:rPr>
          <w:rFonts w:hint="eastAsia" w:ascii="Times New Roman" w:hAnsi="Times New Roman" w:eastAsia="宋体" w:cs="Times New Roman"/>
          <w:sz w:val="24"/>
          <w:szCs w:val="24"/>
        </w:rPr>
        <w:t>省份</w:t>
      </w:r>
      <w:r>
        <w:rPr>
          <w:rFonts w:ascii="Times New Roman" w:hAnsi="Times New Roman" w:eastAsia="宋体" w:cs="Times New Roman"/>
          <w:sz w:val="24"/>
          <w:szCs w:val="24"/>
        </w:rPr>
        <w:t>分别是：</w:t>
      </w:r>
      <w:r>
        <w:rPr>
          <w:rFonts w:hint="eastAsia" w:ascii="Times New Roman" w:hAnsi="Times New Roman" w:eastAsia="宋体" w:cs="Times New Roman"/>
          <w:sz w:val="24"/>
          <w:szCs w:val="24"/>
        </w:rPr>
        <w:t>山西省</w:t>
      </w:r>
      <w:r>
        <w:rPr>
          <w:rFonts w:ascii="Times New Roman" w:hAnsi="Times New Roman" w:eastAsia="宋体" w:cs="Times New Roman"/>
          <w:sz w:val="24"/>
          <w:szCs w:val="24"/>
        </w:rPr>
        <w:t>、河南省</w:t>
      </w:r>
      <w:r>
        <w:rPr>
          <w:rFonts w:hint="eastAsia" w:ascii="Times New Roman" w:hAnsi="Times New Roman" w:eastAsia="宋体" w:cs="Times New Roman"/>
          <w:sz w:val="24"/>
          <w:szCs w:val="24"/>
        </w:rPr>
        <w:t>、</w:t>
      </w:r>
      <w:r>
        <w:rPr>
          <w:rFonts w:ascii="Times New Roman" w:hAnsi="Times New Roman" w:eastAsia="宋体" w:cs="Times New Roman"/>
          <w:sz w:val="24"/>
          <w:szCs w:val="24"/>
        </w:rPr>
        <w:t>山东省。</w:t>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表1-6 2017届毕业生生源分布情况</w:t>
      </w:r>
    </w:p>
    <w:tbl>
      <w:tblPr>
        <w:tblStyle w:val="26"/>
        <w:tblW w:w="7090" w:type="dxa"/>
        <w:jc w:val="center"/>
        <w:tblInd w:w="0" w:type="dxa"/>
        <w:tblLayout w:type="fixed"/>
        <w:tblCellMar>
          <w:top w:w="0" w:type="dxa"/>
          <w:left w:w="108" w:type="dxa"/>
          <w:bottom w:w="0" w:type="dxa"/>
          <w:right w:w="108" w:type="dxa"/>
        </w:tblCellMar>
      </w:tblPr>
      <w:tblGrid>
        <w:gridCol w:w="1418"/>
        <w:gridCol w:w="1418"/>
        <w:gridCol w:w="1418"/>
        <w:gridCol w:w="1418"/>
        <w:gridCol w:w="1418"/>
      </w:tblGrid>
      <w:tr>
        <w:tblPrEx>
          <w:tblLayout w:type="fixed"/>
          <w:tblCellMar>
            <w:top w:w="0" w:type="dxa"/>
            <w:left w:w="108" w:type="dxa"/>
            <w:bottom w:w="0" w:type="dxa"/>
            <w:right w:w="108" w:type="dxa"/>
          </w:tblCellMar>
        </w:tblPrEx>
        <w:trPr>
          <w:trHeight w:val="284" w:hRule="atLeast"/>
          <w:jc w:val="center"/>
        </w:trPr>
        <w:tc>
          <w:tcPr>
            <w:tcW w:w="1418" w:type="dxa"/>
            <w:vMerge w:val="restart"/>
            <w:tcBorders>
              <w:top w:val="single" w:color="4BACC6" w:sz="8" w:space="0"/>
              <w:left w:val="single" w:color="4BACC6" w:sz="8" w:space="0"/>
              <w:bottom w:val="single" w:color="FFFFFF" w:sz="4" w:space="0"/>
              <w:right w:val="single" w:color="4BACC6" w:sz="8" w:space="0"/>
            </w:tcBorders>
            <w:shd w:val="clear" w:color="auto" w:fill="4BACC6"/>
            <w:vAlign w:val="center"/>
          </w:tcPr>
          <w:p>
            <w:pPr>
              <w:widowControl/>
              <w:jc w:val="center"/>
              <w:textAlignment w:val="bottom"/>
              <w:rPr>
                <w:rFonts w:ascii="Arial" w:hAnsi="Arial" w:eastAsia="宋体" w:cs="Arial"/>
                <w:b/>
                <w:sz w:val="20"/>
                <w:szCs w:val="20"/>
              </w:rPr>
            </w:pPr>
            <w:r>
              <w:rPr>
                <w:rFonts w:hint="eastAsia" w:ascii="Arial" w:hAnsi="Arial" w:eastAsia="宋体" w:cs="Arial"/>
                <w:b/>
                <w:sz w:val="20"/>
                <w:szCs w:val="20"/>
              </w:rPr>
              <w:t>生源地</w:t>
            </w:r>
          </w:p>
        </w:tc>
        <w:tc>
          <w:tcPr>
            <w:tcW w:w="2836" w:type="dxa"/>
            <w:gridSpan w:val="2"/>
            <w:tcBorders>
              <w:top w:val="single" w:color="4BACC6" w:sz="8" w:space="0"/>
              <w:left w:val="single" w:color="4BACC6" w:sz="8" w:space="0"/>
              <w:bottom w:val="single" w:color="FFFFFF" w:sz="4" w:space="0"/>
              <w:right w:val="single" w:color="4BACC6" w:sz="8" w:space="0"/>
            </w:tcBorders>
            <w:shd w:val="clear" w:color="auto" w:fill="4BACC6"/>
            <w:vAlign w:val="center"/>
          </w:tcPr>
          <w:p>
            <w:pPr>
              <w:widowControl/>
              <w:jc w:val="center"/>
              <w:textAlignment w:val="bottom"/>
              <w:rPr>
                <w:rFonts w:ascii="Arial" w:hAnsi="Arial" w:eastAsia="宋体" w:cs="Arial"/>
                <w:b/>
                <w:sz w:val="20"/>
                <w:szCs w:val="20"/>
              </w:rPr>
            </w:pPr>
            <w:r>
              <w:rPr>
                <w:rFonts w:hint="eastAsia" w:ascii="Arial" w:hAnsi="Arial" w:eastAsia="宋体" w:cs="Arial"/>
                <w:b/>
                <w:sz w:val="20"/>
                <w:szCs w:val="20"/>
              </w:rPr>
              <w:t>本科毕业生</w:t>
            </w:r>
          </w:p>
        </w:tc>
        <w:tc>
          <w:tcPr>
            <w:tcW w:w="2836" w:type="dxa"/>
            <w:gridSpan w:val="2"/>
            <w:tcBorders>
              <w:top w:val="single" w:color="4BACC6" w:sz="8" w:space="0"/>
              <w:left w:val="single" w:color="4BACC6" w:sz="8" w:space="0"/>
              <w:bottom w:val="single" w:color="FFFFFF" w:sz="4" w:space="0"/>
              <w:right w:val="single" w:color="4BACC6" w:sz="8" w:space="0"/>
            </w:tcBorders>
            <w:shd w:val="clear" w:color="auto" w:fill="4BACC6"/>
            <w:vAlign w:val="center"/>
          </w:tcPr>
          <w:p>
            <w:pPr>
              <w:widowControl/>
              <w:jc w:val="center"/>
              <w:textAlignment w:val="bottom"/>
              <w:rPr>
                <w:rFonts w:ascii="Arial" w:hAnsi="Arial" w:eastAsia="宋体" w:cs="Arial"/>
                <w:b/>
                <w:sz w:val="20"/>
                <w:szCs w:val="20"/>
              </w:rPr>
            </w:pPr>
            <w:r>
              <w:rPr>
                <w:rFonts w:hint="eastAsia" w:ascii="Arial" w:hAnsi="Arial" w:eastAsia="宋体" w:cs="Arial"/>
                <w:b/>
                <w:sz w:val="20"/>
                <w:szCs w:val="20"/>
              </w:rPr>
              <w:t>专科毕业生</w:t>
            </w:r>
          </w:p>
        </w:tc>
      </w:tr>
      <w:tr>
        <w:tblPrEx>
          <w:tblLayout w:type="fixed"/>
          <w:tblCellMar>
            <w:top w:w="0" w:type="dxa"/>
            <w:left w:w="108" w:type="dxa"/>
            <w:bottom w:w="0" w:type="dxa"/>
            <w:right w:w="108" w:type="dxa"/>
          </w:tblCellMar>
        </w:tblPrEx>
        <w:trPr>
          <w:trHeight w:val="284" w:hRule="atLeast"/>
          <w:jc w:val="center"/>
        </w:trPr>
        <w:tc>
          <w:tcPr>
            <w:tcW w:w="1418" w:type="dxa"/>
            <w:vMerge w:val="continue"/>
            <w:tcBorders>
              <w:top w:val="single" w:color="FFFFFF" w:sz="4"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b/>
                <w:sz w:val="20"/>
                <w:szCs w:val="20"/>
              </w:rPr>
            </w:pPr>
          </w:p>
        </w:tc>
        <w:tc>
          <w:tcPr>
            <w:tcW w:w="1418" w:type="dxa"/>
            <w:tcBorders>
              <w:top w:val="single" w:color="FFFFFF" w:sz="4"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b/>
                <w:sz w:val="20"/>
                <w:szCs w:val="20"/>
              </w:rPr>
            </w:pPr>
            <w:r>
              <w:rPr>
                <w:rFonts w:hint="eastAsia" w:ascii="Arial" w:hAnsi="Arial" w:eastAsia="宋体" w:cs="Arial"/>
                <w:b/>
                <w:sz w:val="20"/>
                <w:szCs w:val="20"/>
              </w:rPr>
              <w:t>人数</w:t>
            </w:r>
          </w:p>
        </w:tc>
        <w:tc>
          <w:tcPr>
            <w:tcW w:w="1418" w:type="dxa"/>
            <w:tcBorders>
              <w:top w:val="single" w:color="FFFFFF" w:sz="4"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b/>
                <w:sz w:val="20"/>
                <w:szCs w:val="20"/>
              </w:rPr>
            </w:pPr>
            <w:r>
              <w:rPr>
                <w:rFonts w:hint="eastAsia" w:ascii="Arial" w:hAnsi="Arial" w:eastAsia="宋体" w:cs="Arial"/>
                <w:b/>
                <w:sz w:val="20"/>
                <w:szCs w:val="20"/>
              </w:rPr>
              <w:t>比例</w:t>
            </w:r>
          </w:p>
        </w:tc>
        <w:tc>
          <w:tcPr>
            <w:tcW w:w="1418" w:type="dxa"/>
            <w:tcBorders>
              <w:top w:val="single" w:color="FFFFFF" w:sz="4"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b/>
                <w:sz w:val="20"/>
                <w:szCs w:val="20"/>
              </w:rPr>
            </w:pPr>
            <w:r>
              <w:rPr>
                <w:rFonts w:hint="eastAsia" w:ascii="Arial" w:hAnsi="Arial" w:eastAsia="宋体" w:cs="Arial"/>
                <w:b/>
                <w:sz w:val="20"/>
                <w:szCs w:val="20"/>
              </w:rPr>
              <w:t>人数</w:t>
            </w:r>
          </w:p>
        </w:tc>
        <w:tc>
          <w:tcPr>
            <w:tcW w:w="1418" w:type="dxa"/>
            <w:tcBorders>
              <w:top w:val="single" w:color="FFFFFF" w:sz="4"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b/>
                <w:sz w:val="20"/>
                <w:szCs w:val="20"/>
              </w:rPr>
            </w:pPr>
            <w:r>
              <w:rPr>
                <w:rFonts w:hint="eastAsia" w:ascii="Arial" w:hAnsi="Arial" w:eastAsia="宋体" w:cs="Arial"/>
                <w:b/>
                <w:sz w:val="20"/>
                <w:szCs w:val="20"/>
              </w:rPr>
              <w:t>比例</w:t>
            </w:r>
          </w:p>
        </w:tc>
      </w:tr>
      <w:tr>
        <w:tblPrEx>
          <w:tblLayout w:type="fixed"/>
          <w:tblCellMar>
            <w:top w:w="0" w:type="dxa"/>
            <w:left w:w="108" w:type="dxa"/>
            <w:bottom w:w="0" w:type="dxa"/>
            <w:right w:w="108" w:type="dxa"/>
          </w:tblCellMar>
        </w:tblPrEx>
        <w:trPr>
          <w:trHeight w:val="284" w:hRule="atLeast"/>
          <w:jc w:val="center"/>
        </w:trPr>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省内生源</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1829</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59.00%</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564</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81.39%</w:t>
            </w:r>
          </w:p>
        </w:tc>
      </w:tr>
      <w:tr>
        <w:tblPrEx>
          <w:tblLayout w:type="fixed"/>
          <w:tblCellMar>
            <w:top w:w="0" w:type="dxa"/>
            <w:left w:w="108" w:type="dxa"/>
            <w:bottom w:w="0" w:type="dxa"/>
            <w:right w:w="108" w:type="dxa"/>
          </w:tblCellMar>
        </w:tblPrEx>
        <w:trPr>
          <w:trHeight w:val="284" w:hRule="atLeast"/>
          <w:jc w:val="center"/>
        </w:trPr>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省外生源</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1271</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41.00%</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129</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18.61%</w:t>
            </w:r>
          </w:p>
        </w:tc>
      </w:tr>
      <w:tr>
        <w:tblPrEx>
          <w:tblLayout w:type="fixed"/>
          <w:tblCellMar>
            <w:top w:w="0" w:type="dxa"/>
            <w:left w:w="108" w:type="dxa"/>
            <w:bottom w:w="0" w:type="dxa"/>
            <w:right w:w="108" w:type="dxa"/>
          </w:tblCellMar>
        </w:tblPrEx>
        <w:trPr>
          <w:trHeight w:val="284" w:hRule="atLeast"/>
          <w:jc w:val="center"/>
        </w:trPr>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安徽省</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101</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3.26%</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jc w:val="center"/>
              <w:textAlignment w:val="bottom"/>
              <w:rPr>
                <w:rFonts w:ascii="Arial" w:hAnsi="Arial" w:eastAsia="宋体" w:cs="Arial"/>
                <w:sz w:val="20"/>
                <w:szCs w:val="20"/>
              </w:rPr>
            </w:pP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jc w:val="center"/>
              <w:textAlignment w:val="bottom"/>
              <w:rPr>
                <w:rFonts w:ascii="Arial" w:hAnsi="Arial" w:eastAsia="宋体" w:cs="Arial"/>
                <w:sz w:val="20"/>
                <w:szCs w:val="20"/>
              </w:rPr>
            </w:pPr>
          </w:p>
        </w:tc>
      </w:tr>
      <w:tr>
        <w:tblPrEx>
          <w:tblLayout w:type="fixed"/>
          <w:tblCellMar>
            <w:top w:w="0" w:type="dxa"/>
            <w:left w:w="108" w:type="dxa"/>
            <w:bottom w:w="0" w:type="dxa"/>
            <w:right w:w="108" w:type="dxa"/>
          </w:tblCellMar>
        </w:tblPrEx>
        <w:trPr>
          <w:trHeight w:val="284" w:hRule="atLeast"/>
          <w:jc w:val="center"/>
        </w:trPr>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北京市</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24</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0.77%</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1</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0.14%</w:t>
            </w:r>
          </w:p>
        </w:tc>
      </w:tr>
      <w:tr>
        <w:tblPrEx>
          <w:tblLayout w:type="fixed"/>
          <w:tblCellMar>
            <w:top w:w="0" w:type="dxa"/>
            <w:left w:w="108" w:type="dxa"/>
            <w:bottom w:w="0" w:type="dxa"/>
            <w:right w:w="108" w:type="dxa"/>
          </w:tblCellMar>
        </w:tblPrEx>
        <w:trPr>
          <w:trHeight w:val="284" w:hRule="atLeast"/>
          <w:jc w:val="center"/>
        </w:trPr>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甘肃省</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58</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1.87%</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jc w:val="center"/>
              <w:textAlignment w:val="bottom"/>
              <w:rPr>
                <w:rFonts w:ascii="Arial" w:hAnsi="Arial" w:eastAsia="宋体" w:cs="Arial"/>
                <w:sz w:val="20"/>
                <w:szCs w:val="20"/>
              </w:rPr>
            </w:pP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jc w:val="center"/>
              <w:textAlignment w:val="bottom"/>
              <w:rPr>
                <w:rFonts w:ascii="Arial" w:hAnsi="Arial" w:eastAsia="宋体" w:cs="Arial"/>
                <w:sz w:val="20"/>
                <w:szCs w:val="20"/>
              </w:rPr>
            </w:pPr>
          </w:p>
        </w:tc>
      </w:tr>
      <w:tr>
        <w:tblPrEx>
          <w:tblLayout w:type="fixed"/>
          <w:tblCellMar>
            <w:top w:w="0" w:type="dxa"/>
            <w:left w:w="108" w:type="dxa"/>
            <w:bottom w:w="0" w:type="dxa"/>
            <w:right w:w="108" w:type="dxa"/>
          </w:tblCellMar>
        </w:tblPrEx>
        <w:trPr>
          <w:trHeight w:val="284" w:hRule="atLeast"/>
          <w:jc w:val="center"/>
        </w:trPr>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广东省</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1</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0.03%</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jc w:val="center"/>
              <w:textAlignment w:val="bottom"/>
              <w:rPr>
                <w:rFonts w:ascii="Arial" w:hAnsi="Arial" w:eastAsia="宋体" w:cs="Arial"/>
                <w:sz w:val="20"/>
                <w:szCs w:val="20"/>
              </w:rPr>
            </w:pP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jc w:val="center"/>
              <w:textAlignment w:val="bottom"/>
              <w:rPr>
                <w:rFonts w:ascii="Arial" w:hAnsi="Arial" w:eastAsia="宋体" w:cs="Arial"/>
                <w:sz w:val="20"/>
                <w:szCs w:val="20"/>
              </w:rPr>
            </w:pPr>
          </w:p>
        </w:tc>
      </w:tr>
      <w:tr>
        <w:tblPrEx>
          <w:tblLayout w:type="fixed"/>
          <w:tblCellMar>
            <w:top w:w="0" w:type="dxa"/>
            <w:left w:w="108" w:type="dxa"/>
            <w:bottom w:w="0" w:type="dxa"/>
            <w:right w:w="108" w:type="dxa"/>
          </w:tblCellMar>
        </w:tblPrEx>
        <w:trPr>
          <w:trHeight w:val="284" w:hRule="atLeast"/>
          <w:jc w:val="center"/>
        </w:trPr>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广西省</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36</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1.16%</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jc w:val="center"/>
              <w:textAlignment w:val="bottom"/>
              <w:rPr>
                <w:rFonts w:ascii="Arial" w:hAnsi="Arial" w:eastAsia="宋体" w:cs="Arial"/>
                <w:sz w:val="20"/>
                <w:szCs w:val="20"/>
              </w:rPr>
            </w:pP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jc w:val="center"/>
              <w:textAlignment w:val="bottom"/>
              <w:rPr>
                <w:rFonts w:ascii="Arial" w:hAnsi="Arial" w:eastAsia="宋体" w:cs="Arial"/>
                <w:sz w:val="20"/>
                <w:szCs w:val="20"/>
              </w:rPr>
            </w:pPr>
          </w:p>
        </w:tc>
      </w:tr>
      <w:tr>
        <w:tblPrEx>
          <w:tblLayout w:type="fixed"/>
          <w:tblCellMar>
            <w:top w:w="0" w:type="dxa"/>
            <w:left w:w="108" w:type="dxa"/>
            <w:bottom w:w="0" w:type="dxa"/>
            <w:right w:w="108" w:type="dxa"/>
          </w:tblCellMar>
        </w:tblPrEx>
        <w:trPr>
          <w:trHeight w:val="284" w:hRule="atLeast"/>
          <w:jc w:val="center"/>
        </w:trPr>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贵州省</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22</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0.71%</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jc w:val="center"/>
              <w:textAlignment w:val="bottom"/>
              <w:rPr>
                <w:rFonts w:ascii="Arial" w:hAnsi="Arial" w:eastAsia="宋体" w:cs="Arial"/>
                <w:sz w:val="20"/>
                <w:szCs w:val="20"/>
              </w:rPr>
            </w:pP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jc w:val="center"/>
              <w:textAlignment w:val="bottom"/>
              <w:rPr>
                <w:rFonts w:ascii="Arial" w:hAnsi="Arial" w:eastAsia="宋体" w:cs="Arial"/>
                <w:sz w:val="20"/>
                <w:szCs w:val="20"/>
              </w:rPr>
            </w:pPr>
          </w:p>
        </w:tc>
      </w:tr>
      <w:tr>
        <w:tblPrEx>
          <w:tblLayout w:type="fixed"/>
          <w:tblCellMar>
            <w:top w:w="0" w:type="dxa"/>
            <w:left w:w="108" w:type="dxa"/>
            <w:bottom w:w="0" w:type="dxa"/>
            <w:right w:w="108" w:type="dxa"/>
          </w:tblCellMar>
        </w:tblPrEx>
        <w:trPr>
          <w:trHeight w:val="284" w:hRule="atLeast"/>
          <w:jc w:val="center"/>
        </w:trPr>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河南省</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192</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6.19%</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36</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5.19%</w:t>
            </w:r>
          </w:p>
        </w:tc>
      </w:tr>
      <w:tr>
        <w:tblPrEx>
          <w:tblLayout w:type="fixed"/>
          <w:tblCellMar>
            <w:top w:w="0" w:type="dxa"/>
            <w:left w:w="108" w:type="dxa"/>
            <w:bottom w:w="0" w:type="dxa"/>
            <w:right w:w="108" w:type="dxa"/>
          </w:tblCellMar>
        </w:tblPrEx>
        <w:trPr>
          <w:trHeight w:val="284" w:hRule="atLeast"/>
          <w:jc w:val="center"/>
        </w:trPr>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黑龙江省</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93</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3.00%</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jc w:val="center"/>
              <w:textAlignment w:val="bottom"/>
              <w:rPr>
                <w:rFonts w:ascii="Arial" w:hAnsi="Arial" w:eastAsia="宋体" w:cs="Arial"/>
                <w:sz w:val="20"/>
                <w:szCs w:val="20"/>
              </w:rPr>
            </w:pP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jc w:val="center"/>
              <w:textAlignment w:val="bottom"/>
              <w:rPr>
                <w:rFonts w:ascii="Arial" w:hAnsi="Arial" w:eastAsia="宋体" w:cs="Arial"/>
                <w:sz w:val="20"/>
                <w:szCs w:val="20"/>
              </w:rPr>
            </w:pPr>
          </w:p>
        </w:tc>
      </w:tr>
      <w:tr>
        <w:tblPrEx>
          <w:tblLayout w:type="fixed"/>
          <w:tblCellMar>
            <w:top w:w="0" w:type="dxa"/>
            <w:left w:w="108" w:type="dxa"/>
            <w:bottom w:w="0" w:type="dxa"/>
            <w:right w:w="108" w:type="dxa"/>
          </w:tblCellMar>
        </w:tblPrEx>
        <w:trPr>
          <w:trHeight w:val="284" w:hRule="atLeast"/>
          <w:jc w:val="center"/>
        </w:trPr>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湖北省</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17</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0.55%</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jc w:val="center"/>
              <w:textAlignment w:val="bottom"/>
              <w:rPr>
                <w:rFonts w:ascii="Arial" w:hAnsi="Arial" w:eastAsia="宋体" w:cs="Arial"/>
                <w:sz w:val="20"/>
                <w:szCs w:val="20"/>
              </w:rPr>
            </w:pP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jc w:val="center"/>
              <w:textAlignment w:val="bottom"/>
              <w:rPr>
                <w:rFonts w:ascii="Arial" w:hAnsi="Arial" w:eastAsia="宋体" w:cs="Arial"/>
                <w:sz w:val="20"/>
                <w:szCs w:val="20"/>
              </w:rPr>
            </w:pPr>
          </w:p>
        </w:tc>
      </w:tr>
      <w:tr>
        <w:tblPrEx>
          <w:tblLayout w:type="fixed"/>
          <w:tblCellMar>
            <w:top w:w="0" w:type="dxa"/>
            <w:left w:w="108" w:type="dxa"/>
            <w:bottom w:w="0" w:type="dxa"/>
            <w:right w:w="108" w:type="dxa"/>
          </w:tblCellMar>
        </w:tblPrEx>
        <w:trPr>
          <w:trHeight w:val="284" w:hRule="atLeast"/>
          <w:jc w:val="center"/>
        </w:trPr>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吉林省</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9</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0.29%</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jc w:val="center"/>
              <w:textAlignment w:val="bottom"/>
              <w:rPr>
                <w:rFonts w:ascii="Arial" w:hAnsi="Arial" w:eastAsia="宋体" w:cs="Arial"/>
                <w:sz w:val="20"/>
                <w:szCs w:val="20"/>
              </w:rPr>
            </w:pP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jc w:val="center"/>
              <w:textAlignment w:val="bottom"/>
              <w:rPr>
                <w:rFonts w:ascii="Arial" w:hAnsi="Arial" w:eastAsia="宋体" w:cs="Arial"/>
                <w:sz w:val="20"/>
                <w:szCs w:val="20"/>
              </w:rPr>
            </w:pPr>
          </w:p>
        </w:tc>
      </w:tr>
      <w:tr>
        <w:tblPrEx>
          <w:tblLayout w:type="fixed"/>
          <w:tblCellMar>
            <w:top w:w="0" w:type="dxa"/>
            <w:left w:w="108" w:type="dxa"/>
            <w:bottom w:w="0" w:type="dxa"/>
            <w:right w:w="108" w:type="dxa"/>
          </w:tblCellMar>
        </w:tblPrEx>
        <w:trPr>
          <w:trHeight w:val="284" w:hRule="atLeast"/>
          <w:jc w:val="center"/>
        </w:trPr>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江苏省</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71</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2.29%</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1</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0.14%</w:t>
            </w:r>
          </w:p>
        </w:tc>
      </w:tr>
      <w:tr>
        <w:tblPrEx>
          <w:tblLayout w:type="fixed"/>
          <w:tblCellMar>
            <w:top w:w="0" w:type="dxa"/>
            <w:left w:w="108" w:type="dxa"/>
            <w:bottom w:w="0" w:type="dxa"/>
            <w:right w:w="108" w:type="dxa"/>
          </w:tblCellMar>
        </w:tblPrEx>
        <w:trPr>
          <w:trHeight w:val="284" w:hRule="atLeast"/>
          <w:jc w:val="center"/>
        </w:trPr>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江西省</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39</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1.26%</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jc w:val="center"/>
              <w:textAlignment w:val="bottom"/>
              <w:rPr>
                <w:rFonts w:ascii="Arial" w:hAnsi="Arial" w:eastAsia="宋体" w:cs="Arial"/>
                <w:sz w:val="20"/>
                <w:szCs w:val="20"/>
              </w:rPr>
            </w:pP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jc w:val="center"/>
              <w:textAlignment w:val="bottom"/>
              <w:rPr>
                <w:rFonts w:ascii="Arial" w:hAnsi="Arial" w:eastAsia="宋体" w:cs="Arial"/>
                <w:sz w:val="20"/>
                <w:szCs w:val="20"/>
              </w:rPr>
            </w:pPr>
          </w:p>
        </w:tc>
      </w:tr>
      <w:tr>
        <w:tblPrEx>
          <w:tblLayout w:type="fixed"/>
          <w:tblCellMar>
            <w:top w:w="0" w:type="dxa"/>
            <w:left w:w="108" w:type="dxa"/>
            <w:bottom w:w="0" w:type="dxa"/>
            <w:right w:w="108" w:type="dxa"/>
          </w:tblCellMar>
        </w:tblPrEx>
        <w:trPr>
          <w:trHeight w:val="284" w:hRule="atLeast"/>
          <w:jc w:val="center"/>
        </w:trPr>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辽宁省</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12</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0.39%</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jc w:val="center"/>
              <w:textAlignment w:val="bottom"/>
              <w:rPr>
                <w:rFonts w:ascii="Arial" w:hAnsi="Arial" w:eastAsia="宋体" w:cs="Arial"/>
                <w:sz w:val="20"/>
                <w:szCs w:val="20"/>
              </w:rPr>
            </w:pP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jc w:val="center"/>
              <w:textAlignment w:val="bottom"/>
              <w:rPr>
                <w:rFonts w:ascii="Arial" w:hAnsi="Arial" w:eastAsia="宋体" w:cs="Arial"/>
                <w:sz w:val="20"/>
                <w:szCs w:val="20"/>
              </w:rPr>
            </w:pPr>
          </w:p>
        </w:tc>
      </w:tr>
      <w:tr>
        <w:tblPrEx>
          <w:tblLayout w:type="fixed"/>
          <w:tblCellMar>
            <w:top w:w="0" w:type="dxa"/>
            <w:left w:w="108" w:type="dxa"/>
            <w:bottom w:w="0" w:type="dxa"/>
            <w:right w:w="108" w:type="dxa"/>
          </w:tblCellMar>
        </w:tblPrEx>
        <w:trPr>
          <w:trHeight w:val="284" w:hRule="atLeast"/>
          <w:jc w:val="center"/>
        </w:trPr>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内蒙古</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31</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1.00%</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jc w:val="center"/>
              <w:textAlignment w:val="bottom"/>
              <w:rPr>
                <w:rFonts w:ascii="Arial" w:hAnsi="Arial" w:eastAsia="宋体" w:cs="Arial"/>
                <w:sz w:val="20"/>
                <w:szCs w:val="20"/>
              </w:rPr>
            </w:pP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jc w:val="center"/>
              <w:textAlignment w:val="bottom"/>
              <w:rPr>
                <w:rFonts w:ascii="Arial" w:hAnsi="Arial" w:eastAsia="宋体" w:cs="Arial"/>
                <w:sz w:val="20"/>
                <w:szCs w:val="20"/>
              </w:rPr>
            </w:pPr>
          </w:p>
        </w:tc>
      </w:tr>
      <w:tr>
        <w:tblPrEx>
          <w:tblLayout w:type="fixed"/>
          <w:tblCellMar>
            <w:top w:w="0" w:type="dxa"/>
            <w:left w:w="108" w:type="dxa"/>
            <w:bottom w:w="0" w:type="dxa"/>
            <w:right w:w="108" w:type="dxa"/>
          </w:tblCellMar>
        </w:tblPrEx>
        <w:trPr>
          <w:trHeight w:val="284" w:hRule="atLeast"/>
          <w:jc w:val="center"/>
        </w:trPr>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宁夏</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3</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0.10%</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jc w:val="center"/>
              <w:textAlignment w:val="bottom"/>
              <w:rPr>
                <w:rFonts w:ascii="Arial" w:hAnsi="Arial" w:eastAsia="宋体" w:cs="Arial"/>
                <w:sz w:val="20"/>
                <w:szCs w:val="20"/>
              </w:rPr>
            </w:pP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jc w:val="center"/>
              <w:textAlignment w:val="bottom"/>
              <w:rPr>
                <w:rFonts w:ascii="Arial" w:hAnsi="Arial" w:eastAsia="宋体" w:cs="Arial"/>
                <w:sz w:val="20"/>
                <w:szCs w:val="20"/>
              </w:rPr>
            </w:pPr>
          </w:p>
        </w:tc>
      </w:tr>
      <w:tr>
        <w:tblPrEx>
          <w:tblLayout w:type="fixed"/>
          <w:tblCellMar>
            <w:top w:w="0" w:type="dxa"/>
            <w:left w:w="108" w:type="dxa"/>
            <w:bottom w:w="0" w:type="dxa"/>
            <w:right w:w="108" w:type="dxa"/>
          </w:tblCellMar>
        </w:tblPrEx>
        <w:trPr>
          <w:trHeight w:val="284" w:hRule="atLeast"/>
          <w:jc w:val="center"/>
        </w:trPr>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青海省</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2</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0.06%</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jc w:val="center"/>
              <w:textAlignment w:val="bottom"/>
              <w:rPr>
                <w:rFonts w:ascii="Arial" w:hAnsi="Arial" w:eastAsia="宋体" w:cs="Arial"/>
                <w:sz w:val="20"/>
                <w:szCs w:val="20"/>
              </w:rPr>
            </w:pP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jc w:val="center"/>
              <w:textAlignment w:val="bottom"/>
              <w:rPr>
                <w:rFonts w:ascii="Arial" w:hAnsi="Arial" w:eastAsia="宋体" w:cs="Arial"/>
                <w:sz w:val="20"/>
                <w:szCs w:val="20"/>
              </w:rPr>
            </w:pPr>
          </w:p>
        </w:tc>
      </w:tr>
      <w:tr>
        <w:tblPrEx>
          <w:tblLayout w:type="fixed"/>
          <w:tblCellMar>
            <w:top w:w="0" w:type="dxa"/>
            <w:left w:w="108" w:type="dxa"/>
            <w:bottom w:w="0" w:type="dxa"/>
            <w:right w:w="108" w:type="dxa"/>
          </w:tblCellMar>
        </w:tblPrEx>
        <w:trPr>
          <w:trHeight w:val="284" w:hRule="atLeast"/>
          <w:jc w:val="center"/>
        </w:trPr>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山东省</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221</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7.13%</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32</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4.62%</w:t>
            </w:r>
          </w:p>
        </w:tc>
      </w:tr>
      <w:tr>
        <w:tblPrEx>
          <w:tblLayout w:type="fixed"/>
          <w:tblCellMar>
            <w:top w:w="0" w:type="dxa"/>
            <w:left w:w="108" w:type="dxa"/>
            <w:bottom w:w="0" w:type="dxa"/>
            <w:right w:w="108" w:type="dxa"/>
          </w:tblCellMar>
        </w:tblPrEx>
        <w:trPr>
          <w:trHeight w:val="284" w:hRule="atLeast"/>
          <w:jc w:val="center"/>
        </w:trPr>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山西省</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244</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7.87%</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59</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8.51%</w:t>
            </w:r>
          </w:p>
        </w:tc>
      </w:tr>
      <w:tr>
        <w:tblPrEx>
          <w:tblLayout w:type="fixed"/>
          <w:tblCellMar>
            <w:top w:w="0" w:type="dxa"/>
            <w:left w:w="108" w:type="dxa"/>
            <w:bottom w:w="0" w:type="dxa"/>
            <w:right w:w="108" w:type="dxa"/>
          </w:tblCellMar>
        </w:tblPrEx>
        <w:trPr>
          <w:trHeight w:val="284" w:hRule="atLeast"/>
          <w:jc w:val="center"/>
        </w:trPr>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陕西省</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30</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0.97%</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jc w:val="center"/>
              <w:textAlignment w:val="bottom"/>
              <w:rPr>
                <w:rFonts w:ascii="Arial" w:hAnsi="Arial" w:eastAsia="宋体" w:cs="Arial"/>
                <w:sz w:val="20"/>
                <w:szCs w:val="20"/>
              </w:rPr>
            </w:pP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jc w:val="center"/>
              <w:textAlignment w:val="bottom"/>
              <w:rPr>
                <w:rFonts w:ascii="Arial" w:hAnsi="Arial" w:eastAsia="宋体" w:cs="Arial"/>
                <w:sz w:val="20"/>
                <w:szCs w:val="20"/>
              </w:rPr>
            </w:pPr>
          </w:p>
        </w:tc>
      </w:tr>
      <w:tr>
        <w:tblPrEx>
          <w:tblLayout w:type="fixed"/>
          <w:tblCellMar>
            <w:top w:w="0" w:type="dxa"/>
            <w:left w:w="108" w:type="dxa"/>
            <w:bottom w:w="0" w:type="dxa"/>
            <w:right w:w="108" w:type="dxa"/>
          </w:tblCellMar>
        </w:tblPrEx>
        <w:trPr>
          <w:trHeight w:val="284" w:hRule="atLeast"/>
          <w:jc w:val="center"/>
        </w:trPr>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天津市</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13</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0.42%</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jc w:val="center"/>
              <w:textAlignment w:val="bottom"/>
              <w:rPr>
                <w:rFonts w:ascii="Arial" w:hAnsi="Arial" w:eastAsia="宋体" w:cs="Arial"/>
                <w:sz w:val="20"/>
                <w:szCs w:val="20"/>
              </w:rPr>
            </w:pP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jc w:val="center"/>
              <w:textAlignment w:val="bottom"/>
              <w:rPr>
                <w:rFonts w:ascii="Arial" w:hAnsi="Arial" w:eastAsia="宋体" w:cs="Arial"/>
                <w:sz w:val="20"/>
                <w:szCs w:val="20"/>
              </w:rPr>
            </w:pPr>
          </w:p>
        </w:tc>
      </w:tr>
      <w:tr>
        <w:tblPrEx>
          <w:tblLayout w:type="fixed"/>
          <w:tblCellMar>
            <w:top w:w="0" w:type="dxa"/>
            <w:left w:w="108" w:type="dxa"/>
            <w:bottom w:w="0" w:type="dxa"/>
            <w:right w:w="108" w:type="dxa"/>
          </w:tblCellMar>
        </w:tblPrEx>
        <w:trPr>
          <w:trHeight w:val="284" w:hRule="atLeast"/>
          <w:jc w:val="center"/>
        </w:trPr>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新疆</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15</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0.48%</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jc w:val="center"/>
              <w:textAlignment w:val="bottom"/>
              <w:rPr>
                <w:rFonts w:ascii="Arial" w:hAnsi="Arial" w:eastAsia="宋体" w:cs="Arial"/>
                <w:sz w:val="20"/>
                <w:szCs w:val="20"/>
              </w:rPr>
            </w:pP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jc w:val="center"/>
              <w:textAlignment w:val="bottom"/>
              <w:rPr>
                <w:rFonts w:ascii="Arial" w:hAnsi="Arial" w:eastAsia="宋体" w:cs="Arial"/>
                <w:sz w:val="20"/>
                <w:szCs w:val="20"/>
              </w:rPr>
            </w:pPr>
          </w:p>
        </w:tc>
      </w:tr>
      <w:tr>
        <w:tblPrEx>
          <w:tblLayout w:type="fixed"/>
          <w:tblCellMar>
            <w:top w:w="0" w:type="dxa"/>
            <w:left w:w="108" w:type="dxa"/>
            <w:bottom w:w="0" w:type="dxa"/>
            <w:right w:w="108" w:type="dxa"/>
          </w:tblCellMar>
        </w:tblPrEx>
        <w:trPr>
          <w:trHeight w:val="284" w:hRule="atLeast"/>
          <w:jc w:val="center"/>
        </w:trPr>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浙江省</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17</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0.55%</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jc w:val="center"/>
              <w:textAlignment w:val="bottom"/>
              <w:rPr>
                <w:rFonts w:ascii="Arial" w:hAnsi="Arial" w:eastAsia="宋体" w:cs="Arial"/>
                <w:sz w:val="20"/>
                <w:szCs w:val="20"/>
              </w:rPr>
            </w:pP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jc w:val="center"/>
              <w:textAlignment w:val="bottom"/>
              <w:rPr>
                <w:rFonts w:ascii="Arial" w:hAnsi="Arial" w:eastAsia="宋体" w:cs="Arial"/>
                <w:sz w:val="20"/>
                <w:szCs w:val="20"/>
              </w:rPr>
            </w:pPr>
          </w:p>
        </w:tc>
      </w:tr>
      <w:tr>
        <w:tblPrEx>
          <w:tblLayout w:type="fixed"/>
          <w:tblCellMar>
            <w:top w:w="0" w:type="dxa"/>
            <w:left w:w="108" w:type="dxa"/>
            <w:bottom w:w="0" w:type="dxa"/>
            <w:right w:w="108" w:type="dxa"/>
          </w:tblCellMar>
        </w:tblPrEx>
        <w:trPr>
          <w:trHeight w:val="284" w:hRule="atLeast"/>
          <w:jc w:val="center"/>
        </w:trPr>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重庆市</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20</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bottom"/>
              <w:rPr>
                <w:rFonts w:ascii="Arial" w:hAnsi="Arial" w:eastAsia="宋体" w:cs="Arial"/>
                <w:sz w:val="20"/>
                <w:szCs w:val="20"/>
              </w:rPr>
            </w:pPr>
            <w:r>
              <w:rPr>
                <w:rFonts w:hint="eastAsia" w:ascii="Arial" w:hAnsi="Arial" w:eastAsia="宋体" w:cs="Arial"/>
                <w:sz w:val="20"/>
                <w:szCs w:val="20"/>
              </w:rPr>
              <w:t>0.65%</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jc w:val="center"/>
              <w:textAlignment w:val="bottom"/>
              <w:rPr>
                <w:rFonts w:ascii="Arial" w:hAnsi="Arial" w:eastAsia="宋体" w:cs="Arial"/>
                <w:sz w:val="20"/>
                <w:szCs w:val="20"/>
              </w:rPr>
            </w:pP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jc w:val="center"/>
              <w:textAlignment w:val="bottom"/>
              <w:rPr>
                <w:rFonts w:ascii="Arial" w:hAnsi="Arial" w:eastAsia="宋体" w:cs="Arial"/>
                <w:sz w:val="20"/>
                <w:szCs w:val="20"/>
              </w:rPr>
            </w:pPr>
          </w:p>
        </w:tc>
      </w:tr>
      <w:tr>
        <w:tblPrEx>
          <w:tblLayout w:type="fixed"/>
          <w:tblCellMar>
            <w:top w:w="0" w:type="dxa"/>
            <w:left w:w="108" w:type="dxa"/>
            <w:bottom w:w="0" w:type="dxa"/>
            <w:right w:w="108" w:type="dxa"/>
          </w:tblCellMar>
        </w:tblPrEx>
        <w:trPr>
          <w:trHeight w:val="284" w:hRule="atLeast"/>
          <w:jc w:val="center"/>
        </w:trPr>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b/>
                <w:sz w:val="20"/>
                <w:szCs w:val="20"/>
              </w:rPr>
            </w:pPr>
            <w:r>
              <w:rPr>
                <w:rFonts w:ascii="Arial" w:hAnsi="Arial" w:eastAsia="宋体" w:cs="Arial"/>
                <w:b/>
                <w:sz w:val="20"/>
                <w:szCs w:val="20"/>
              </w:rPr>
              <w:t>总计</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b/>
                <w:sz w:val="20"/>
                <w:szCs w:val="20"/>
              </w:rPr>
            </w:pPr>
            <w:r>
              <w:rPr>
                <w:rFonts w:ascii="Arial" w:hAnsi="Arial" w:eastAsia="宋体" w:cs="Arial"/>
                <w:b/>
                <w:sz w:val="20"/>
                <w:szCs w:val="20"/>
              </w:rPr>
              <w:t>3100</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b/>
                <w:sz w:val="20"/>
                <w:szCs w:val="20"/>
              </w:rPr>
            </w:pP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b/>
                <w:sz w:val="20"/>
                <w:szCs w:val="20"/>
              </w:rPr>
            </w:pPr>
            <w:r>
              <w:rPr>
                <w:rFonts w:ascii="Arial" w:hAnsi="Arial" w:eastAsia="宋体" w:cs="Arial"/>
                <w:b/>
                <w:sz w:val="20"/>
                <w:szCs w:val="20"/>
              </w:rPr>
              <w:t>693</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b/>
                <w:sz w:val="20"/>
                <w:szCs w:val="20"/>
              </w:rPr>
            </w:pPr>
          </w:p>
        </w:tc>
      </w:tr>
    </w:tbl>
    <w:p>
      <w:pPr>
        <w:pStyle w:val="33"/>
        <w:spacing w:before="180" w:after="180" w:afterLines="0" w:line="360" w:lineRule="auto"/>
        <w:ind w:firstLine="482" w:firstLineChars="200"/>
        <w:outlineLvl w:val="2"/>
        <w:rPr>
          <w:rFonts w:ascii="Times New Roman" w:hAnsi="Times New Roman" w:eastAsia="宋体"/>
          <w:sz w:val="24"/>
          <w:szCs w:val="24"/>
        </w:rPr>
      </w:pPr>
      <w:bookmarkStart w:id="49" w:name="_Toc501407781"/>
      <w:bookmarkStart w:id="50" w:name="_Toc31633"/>
      <w:r>
        <w:rPr>
          <w:rFonts w:hint="eastAsia" w:ascii="Times New Roman" w:hAnsi="Times New Roman" w:eastAsia="宋体"/>
          <w:sz w:val="24"/>
          <w:szCs w:val="24"/>
        </w:rPr>
        <w:t>4．2017届毕业生特殊群体分布</w:t>
      </w:r>
      <w:bookmarkEnd w:id="49"/>
      <w:bookmarkEnd w:id="50"/>
    </w:p>
    <w:p>
      <w:pPr>
        <w:pStyle w:val="33"/>
        <w:tabs>
          <w:tab w:val="left" w:pos="312"/>
        </w:tabs>
        <w:spacing w:before="100" w:after="100" w:afterLines="0" w:line="360" w:lineRule="auto"/>
        <w:ind w:left="482" w:firstLine="0" w:firstLineChars="0"/>
        <w:outlineLvl w:val="2"/>
        <w:rPr>
          <w:rFonts w:ascii="Times New Roman" w:hAnsi="Times New Roman" w:eastAsia="宋体"/>
          <w:b w:val="0"/>
          <w:bCs w:val="0"/>
          <w:sz w:val="24"/>
          <w:szCs w:val="24"/>
        </w:rPr>
      </w:pPr>
      <w:bookmarkStart w:id="51" w:name="_Toc501407782"/>
      <w:bookmarkStart w:id="52" w:name="_Toc6738"/>
      <w:bookmarkStart w:id="53" w:name="_Toc28599"/>
      <w:bookmarkStart w:id="54" w:name="_Toc501407174"/>
      <w:r>
        <w:rPr>
          <w:rFonts w:hint="eastAsia" w:ascii="Times New Roman" w:hAnsi="Times New Roman" w:eastAsia="宋体"/>
          <w:b w:val="0"/>
          <w:bCs w:val="0"/>
          <w:sz w:val="24"/>
          <w:szCs w:val="24"/>
        </w:rPr>
        <w:t>4.1  2017届毕业生政治面貌类别分布情况</w:t>
      </w:r>
      <w:bookmarkEnd w:id="51"/>
      <w:bookmarkEnd w:id="52"/>
      <w:bookmarkEnd w:id="53"/>
      <w:bookmarkEnd w:id="54"/>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从</w:t>
      </w:r>
      <w:r>
        <w:rPr>
          <w:rFonts w:ascii="Times New Roman" w:hAnsi="Times New Roman" w:eastAsia="宋体" w:cs="Times New Roman"/>
          <w:sz w:val="24"/>
          <w:szCs w:val="24"/>
        </w:rPr>
        <w:t>政治面貌</w:t>
      </w:r>
      <w:r>
        <w:rPr>
          <w:rFonts w:hint="eastAsia" w:ascii="Times New Roman" w:hAnsi="Times New Roman" w:eastAsia="宋体" w:cs="Times New Roman"/>
          <w:sz w:val="24"/>
          <w:szCs w:val="24"/>
        </w:rPr>
        <w:t>来看</w:t>
      </w:r>
      <w:r>
        <w:rPr>
          <w:rFonts w:ascii="Times New Roman" w:hAnsi="Times New Roman" w:eastAsia="宋体" w:cs="Times New Roman"/>
          <w:sz w:val="24"/>
          <w:szCs w:val="24"/>
        </w:rPr>
        <w:t>，</w:t>
      </w:r>
      <w:r>
        <w:rPr>
          <w:rFonts w:hint="eastAsia" w:ascii="Times New Roman" w:hAnsi="Times New Roman" w:eastAsia="宋体" w:cs="Times New Roman"/>
          <w:sz w:val="24"/>
          <w:szCs w:val="24"/>
        </w:rPr>
        <w:t>学校</w:t>
      </w:r>
      <w:r>
        <w:rPr>
          <w:rFonts w:ascii="Times New Roman" w:hAnsi="Times New Roman" w:eastAsia="宋体" w:cs="Times New Roman"/>
          <w:sz w:val="24"/>
          <w:szCs w:val="24"/>
        </w:rPr>
        <w:t>201</w:t>
      </w:r>
      <w:r>
        <w:rPr>
          <w:rFonts w:hint="eastAsia" w:ascii="Times New Roman" w:hAnsi="Times New Roman" w:eastAsia="宋体" w:cs="Times New Roman"/>
          <w:sz w:val="24"/>
          <w:szCs w:val="24"/>
        </w:rPr>
        <w:t>7届本科毕业生中，</w:t>
      </w:r>
      <w:r>
        <w:rPr>
          <w:rFonts w:ascii="Times New Roman" w:hAnsi="Times New Roman" w:eastAsia="宋体" w:cs="Times New Roman"/>
          <w:sz w:val="24"/>
          <w:szCs w:val="24"/>
        </w:rPr>
        <w:t>共青团员</w:t>
      </w:r>
      <w:r>
        <w:rPr>
          <w:rFonts w:hint="eastAsia" w:ascii="Times New Roman" w:hAnsi="Times New Roman" w:eastAsia="宋体" w:cs="Times New Roman"/>
          <w:sz w:val="24"/>
          <w:szCs w:val="24"/>
        </w:rPr>
        <w:t>2935</w:t>
      </w:r>
      <w:r>
        <w:rPr>
          <w:rFonts w:ascii="Times New Roman" w:hAnsi="Times New Roman" w:eastAsia="宋体" w:cs="Times New Roman"/>
          <w:sz w:val="24"/>
          <w:szCs w:val="24"/>
        </w:rPr>
        <w:t>人（94.</w:t>
      </w:r>
      <w:r>
        <w:rPr>
          <w:rFonts w:hint="eastAsia" w:ascii="Times New Roman" w:hAnsi="Times New Roman" w:eastAsia="宋体" w:cs="Times New Roman"/>
          <w:sz w:val="24"/>
          <w:szCs w:val="24"/>
        </w:rPr>
        <w:t>68</w:t>
      </w:r>
      <w:r>
        <w:rPr>
          <w:rFonts w:ascii="Times New Roman" w:hAnsi="Times New Roman" w:eastAsia="宋体" w:cs="Times New Roman"/>
          <w:sz w:val="24"/>
          <w:szCs w:val="24"/>
        </w:rPr>
        <w:t>%）、中共党员</w:t>
      </w:r>
      <w:r>
        <w:rPr>
          <w:rFonts w:hint="eastAsia" w:ascii="Times New Roman" w:hAnsi="Times New Roman" w:eastAsia="宋体" w:cs="Times New Roman"/>
          <w:sz w:val="24"/>
          <w:szCs w:val="24"/>
        </w:rPr>
        <w:t>/中共预备党员55</w:t>
      </w:r>
      <w:r>
        <w:rPr>
          <w:rFonts w:ascii="Times New Roman" w:hAnsi="Times New Roman" w:eastAsia="宋体" w:cs="Times New Roman"/>
          <w:sz w:val="24"/>
          <w:szCs w:val="24"/>
        </w:rPr>
        <w:t>人（</w:t>
      </w:r>
      <w:r>
        <w:rPr>
          <w:rFonts w:hint="eastAsia" w:ascii="Times New Roman" w:hAnsi="Times New Roman" w:eastAsia="宋体" w:cs="Times New Roman"/>
          <w:sz w:val="24"/>
          <w:szCs w:val="24"/>
        </w:rPr>
        <w:t>1.77</w:t>
      </w:r>
      <w:r>
        <w:rPr>
          <w:rFonts w:ascii="Times New Roman" w:hAnsi="Times New Roman" w:eastAsia="宋体" w:cs="Times New Roman"/>
          <w:sz w:val="24"/>
          <w:szCs w:val="24"/>
        </w:rPr>
        <w:t>%）、群众或无党派民主人士</w:t>
      </w:r>
      <w:r>
        <w:rPr>
          <w:rFonts w:hint="eastAsia" w:ascii="Times New Roman" w:hAnsi="Times New Roman" w:eastAsia="宋体" w:cs="Times New Roman"/>
          <w:sz w:val="24"/>
          <w:szCs w:val="24"/>
        </w:rPr>
        <w:t>110</w:t>
      </w:r>
      <w:r>
        <w:rPr>
          <w:rFonts w:ascii="Times New Roman" w:hAnsi="Times New Roman" w:eastAsia="宋体" w:cs="Times New Roman"/>
          <w:sz w:val="24"/>
          <w:szCs w:val="24"/>
        </w:rPr>
        <w:t>人（</w:t>
      </w:r>
      <w:r>
        <w:rPr>
          <w:rFonts w:hint="eastAsia" w:ascii="Times New Roman" w:hAnsi="Times New Roman" w:eastAsia="宋体" w:cs="Times New Roman"/>
          <w:sz w:val="24"/>
          <w:szCs w:val="24"/>
        </w:rPr>
        <w:t>3.55</w:t>
      </w:r>
      <w:r>
        <w:rPr>
          <w:rFonts w:ascii="Times New Roman" w:hAnsi="Times New Roman" w:eastAsia="宋体" w:cs="Times New Roman"/>
          <w:sz w:val="24"/>
          <w:szCs w:val="24"/>
        </w:rPr>
        <w:t>%）；</w:t>
      </w:r>
      <w:r>
        <w:rPr>
          <w:rFonts w:hint="eastAsia" w:ascii="Times New Roman" w:hAnsi="Times New Roman" w:eastAsia="宋体" w:cs="Times New Roman"/>
          <w:sz w:val="24"/>
          <w:szCs w:val="24"/>
        </w:rPr>
        <w:t>专科毕业生</w:t>
      </w:r>
      <w:r>
        <w:rPr>
          <w:rFonts w:ascii="Times New Roman" w:hAnsi="Times New Roman" w:eastAsia="宋体" w:cs="Times New Roman"/>
          <w:sz w:val="24"/>
          <w:szCs w:val="24"/>
        </w:rPr>
        <w:t>中</w:t>
      </w:r>
      <w:r>
        <w:rPr>
          <w:rFonts w:hint="eastAsia" w:ascii="Times New Roman" w:hAnsi="Times New Roman" w:eastAsia="宋体" w:cs="Times New Roman"/>
          <w:sz w:val="24"/>
          <w:szCs w:val="24"/>
        </w:rPr>
        <w:t>共青团</w:t>
      </w:r>
      <w:r>
        <w:rPr>
          <w:rFonts w:ascii="Times New Roman" w:hAnsi="Times New Roman" w:eastAsia="宋体" w:cs="Times New Roman"/>
          <w:sz w:val="24"/>
          <w:szCs w:val="24"/>
        </w:rPr>
        <w:t>员</w:t>
      </w:r>
      <w:r>
        <w:rPr>
          <w:rFonts w:hint="eastAsia" w:ascii="Times New Roman" w:hAnsi="Times New Roman" w:eastAsia="宋体" w:cs="Times New Roman"/>
          <w:sz w:val="24"/>
          <w:szCs w:val="24"/>
        </w:rPr>
        <w:t>643人</w:t>
      </w:r>
      <w:r>
        <w:rPr>
          <w:rFonts w:ascii="Times New Roman" w:hAnsi="Times New Roman" w:eastAsia="宋体" w:cs="Times New Roman"/>
          <w:sz w:val="24"/>
          <w:szCs w:val="24"/>
        </w:rPr>
        <w:t>（9</w:t>
      </w:r>
      <w:r>
        <w:rPr>
          <w:rFonts w:hint="eastAsia" w:ascii="Times New Roman" w:hAnsi="Times New Roman" w:eastAsia="宋体" w:cs="Times New Roman"/>
          <w:sz w:val="24"/>
          <w:szCs w:val="24"/>
        </w:rPr>
        <w:t>2.78</w:t>
      </w:r>
      <w:r>
        <w:rPr>
          <w:rFonts w:ascii="Times New Roman" w:hAnsi="Times New Roman" w:eastAsia="宋体" w:cs="Times New Roman"/>
          <w:sz w:val="24"/>
          <w:szCs w:val="24"/>
        </w:rPr>
        <w:t>%），其次是群众或无党派人士</w:t>
      </w:r>
      <w:r>
        <w:rPr>
          <w:rFonts w:hint="eastAsia" w:ascii="Times New Roman" w:hAnsi="Times New Roman" w:eastAsia="宋体" w:cs="Times New Roman"/>
          <w:sz w:val="24"/>
          <w:szCs w:val="24"/>
        </w:rPr>
        <w:t>47人（6.78%），中共党员/中共预备党员3人（0.43%）。</w:t>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表1-7 2017届政治面貌毕业生分布</w:t>
      </w:r>
    </w:p>
    <w:tbl>
      <w:tblPr>
        <w:tblStyle w:val="26"/>
        <w:tblW w:w="8288" w:type="dxa"/>
        <w:jc w:val="center"/>
        <w:tblInd w:w="0" w:type="dxa"/>
        <w:tblLayout w:type="fixed"/>
        <w:tblCellMar>
          <w:top w:w="0" w:type="dxa"/>
          <w:left w:w="108" w:type="dxa"/>
          <w:bottom w:w="0" w:type="dxa"/>
          <w:right w:w="108" w:type="dxa"/>
        </w:tblCellMar>
      </w:tblPr>
      <w:tblGrid>
        <w:gridCol w:w="2620"/>
        <w:gridCol w:w="1417"/>
        <w:gridCol w:w="1417"/>
        <w:gridCol w:w="1417"/>
        <w:gridCol w:w="1417"/>
      </w:tblGrid>
      <w:tr>
        <w:tblPrEx>
          <w:tblLayout w:type="fixed"/>
          <w:tblCellMar>
            <w:top w:w="0" w:type="dxa"/>
            <w:left w:w="108" w:type="dxa"/>
            <w:bottom w:w="0" w:type="dxa"/>
            <w:right w:w="108" w:type="dxa"/>
          </w:tblCellMar>
        </w:tblPrEx>
        <w:trPr>
          <w:trHeight w:val="357" w:hRule="atLeast"/>
          <w:jc w:val="center"/>
        </w:trPr>
        <w:tc>
          <w:tcPr>
            <w:tcW w:w="2620" w:type="dxa"/>
            <w:vMerge w:val="restart"/>
            <w:tcBorders>
              <w:top w:val="single" w:color="4BACC6" w:sz="8" w:space="0"/>
              <w:left w:val="single" w:color="4BACC6" w:sz="8" w:space="0"/>
              <w:bottom w:val="single" w:color="FFFFFF" w:sz="8" w:space="0"/>
              <w:right w:val="single" w:color="4BACC6" w:sz="8" w:space="0"/>
            </w:tcBorders>
            <w:shd w:val="clear" w:color="auto" w:fill="4BACC6"/>
            <w:vAlign w:val="center"/>
          </w:tcPr>
          <w:p>
            <w:pPr>
              <w:widowControl/>
              <w:jc w:val="center"/>
              <w:textAlignment w:val="center"/>
              <w:rPr>
                <w:rFonts w:ascii="Arial" w:hAnsi="Arial" w:eastAsia="宋体" w:cs="宋体"/>
                <w:b/>
                <w:bCs/>
                <w:sz w:val="20"/>
              </w:rPr>
            </w:pPr>
            <w:r>
              <w:rPr>
                <w:rFonts w:hint="eastAsia" w:ascii="Arial" w:hAnsi="Arial" w:eastAsia="宋体" w:cs="宋体"/>
                <w:b/>
                <w:bCs/>
                <w:kern w:val="0"/>
                <w:sz w:val="20"/>
                <w:lang w:bidi="ar"/>
              </w:rPr>
              <w:t>政治面貌</w:t>
            </w:r>
          </w:p>
        </w:tc>
        <w:tc>
          <w:tcPr>
            <w:tcW w:w="2834" w:type="dxa"/>
            <w:gridSpan w:val="2"/>
            <w:tcBorders>
              <w:top w:val="single" w:color="4BACC6" w:sz="8" w:space="0"/>
              <w:left w:val="single" w:color="4BACC6" w:sz="8" w:space="0"/>
              <w:bottom w:val="single" w:color="FFFFFF" w:sz="8" w:space="0"/>
              <w:right w:val="single" w:color="4BACC6" w:sz="8" w:space="0"/>
            </w:tcBorders>
            <w:shd w:val="clear" w:color="auto" w:fill="4BACC6"/>
            <w:vAlign w:val="center"/>
          </w:tcPr>
          <w:p>
            <w:pPr>
              <w:jc w:val="center"/>
              <w:rPr>
                <w:rFonts w:ascii="Arial" w:hAnsi="Arial" w:eastAsia="宋体" w:cs="宋体"/>
                <w:b/>
                <w:bCs/>
                <w:sz w:val="20"/>
              </w:rPr>
            </w:pPr>
            <w:r>
              <w:rPr>
                <w:rFonts w:hint="eastAsia" w:ascii="Arial" w:hAnsi="Arial" w:eastAsia="宋体" w:cs="宋体"/>
                <w:b/>
                <w:bCs/>
                <w:kern w:val="0"/>
                <w:sz w:val="20"/>
                <w:lang w:bidi="ar"/>
              </w:rPr>
              <w:t>本科生毕业</w:t>
            </w:r>
          </w:p>
        </w:tc>
        <w:tc>
          <w:tcPr>
            <w:tcW w:w="2834" w:type="dxa"/>
            <w:gridSpan w:val="2"/>
            <w:tcBorders>
              <w:top w:val="single" w:color="4BACC6" w:sz="8" w:space="0"/>
              <w:left w:val="single" w:color="4BACC6" w:sz="8" w:space="0"/>
              <w:bottom w:val="single" w:color="FFFFFF" w:sz="8" w:space="0"/>
              <w:right w:val="single" w:color="4BACC6" w:sz="8" w:space="0"/>
            </w:tcBorders>
            <w:shd w:val="clear" w:color="auto" w:fill="4BACC6"/>
            <w:vAlign w:val="center"/>
          </w:tcPr>
          <w:p>
            <w:pPr>
              <w:jc w:val="center"/>
              <w:rPr>
                <w:rFonts w:ascii="Arial" w:hAnsi="Arial" w:eastAsia="宋体" w:cs="宋体"/>
                <w:b/>
                <w:bCs/>
                <w:sz w:val="20"/>
              </w:rPr>
            </w:pPr>
            <w:r>
              <w:rPr>
                <w:rFonts w:hint="eastAsia" w:ascii="Arial" w:hAnsi="Arial" w:eastAsia="宋体" w:cs="宋体"/>
                <w:b/>
                <w:bCs/>
                <w:kern w:val="0"/>
                <w:sz w:val="20"/>
                <w:lang w:bidi="ar"/>
              </w:rPr>
              <w:t>专科生毕业</w:t>
            </w:r>
          </w:p>
        </w:tc>
      </w:tr>
      <w:tr>
        <w:tblPrEx>
          <w:tblLayout w:type="fixed"/>
          <w:tblCellMar>
            <w:top w:w="0" w:type="dxa"/>
            <w:left w:w="108" w:type="dxa"/>
            <w:bottom w:w="0" w:type="dxa"/>
            <w:right w:w="108" w:type="dxa"/>
          </w:tblCellMar>
        </w:tblPrEx>
        <w:trPr>
          <w:trHeight w:val="365" w:hRule="atLeast"/>
          <w:jc w:val="center"/>
        </w:trPr>
        <w:tc>
          <w:tcPr>
            <w:tcW w:w="2620" w:type="dxa"/>
            <w:vMerge w:val="continue"/>
            <w:tcBorders>
              <w:top w:val="single" w:color="FFFFFF" w:sz="4" w:space="0"/>
              <w:left w:val="single" w:color="4BACC6" w:sz="8" w:space="0"/>
              <w:bottom w:val="single" w:color="4BACC6" w:sz="8" w:space="0"/>
              <w:right w:val="single" w:color="4BACC6" w:sz="8" w:space="0"/>
            </w:tcBorders>
            <w:shd w:val="clear" w:color="auto" w:fill="B7DDE8"/>
          </w:tcPr>
          <w:p>
            <w:pPr>
              <w:jc w:val="center"/>
              <w:rPr>
                <w:rFonts w:ascii="Arial" w:hAnsi="Arial" w:eastAsia="宋体" w:cs="宋体"/>
                <w:bCs/>
                <w:sz w:val="20"/>
              </w:rPr>
            </w:pPr>
          </w:p>
        </w:tc>
        <w:tc>
          <w:tcPr>
            <w:tcW w:w="1417" w:type="dxa"/>
            <w:tcBorders>
              <w:top w:val="single" w:color="FFFFFF" w:sz="8" w:space="0"/>
              <w:left w:val="single" w:color="4BACC6" w:sz="8" w:space="0"/>
              <w:bottom w:val="single" w:color="4BACC6" w:sz="8" w:space="0"/>
              <w:right w:val="single" w:color="4BACC6" w:sz="8" w:space="0"/>
            </w:tcBorders>
            <w:shd w:val="clear" w:color="auto" w:fill="B7DDE8"/>
          </w:tcPr>
          <w:p>
            <w:pPr>
              <w:widowControl/>
              <w:jc w:val="center"/>
              <w:textAlignment w:val="center"/>
              <w:rPr>
                <w:rFonts w:ascii="Arial" w:hAnsi="Arial" w:eastAsia="宋体" w:cs="宋体"/>
                <w:b/>
                <w:sz w:val="20"/>
              </w:rPr>
            </w:pPr>
            <w:r>
              <w:rPr>
                <w:rFonts w:hint="eastAsia" w:ascii="Arial" w:hAnsi="Arial" w:eastAsia="宋体" w:cs="宋体"/>
                <w:b/>
                <w:kern w:val="0"/>
                <w:sz w:val="20"/>
                <w:lang w:bidi="ar"/>
              </w:rPr>
              <w:t>人数</w:t>
            </w:r>
          </w:p>
        </w:tc>
        <w:tc>
          <w:tcPr>
            <w:tcW w:w="1417" w:type="dxa"/>
            <w:tcBorders>
              <w:top w:val="single" w:color="FFFFFF" w:sz="8" w:space="0"/>
              <w:left w:val="single" w:color="4BACC6" w:sz="8" w:space="0"/>
              <w:bottom w:val="single" w:color="4BACC6" w:sz="8" w:space="0"/>
              <w:right w:val="single" w:color="4BACC6" w:sz="8" w:space="0"/>
            </w:tcBorders>
            <w:shd w:val="clear" w:color="auto" w:fill="B7DDE8"/>
          </w:tcPr>
          <w:p>
            <w:pPr>
              <w:widowControl/>
              <w:jc w:val="center"/>
              <w:textAlignment w:val="center"/>
              <w:rPr>
                <w:rFonts w:ascii="Arial" w:hAnsi="Arial" w:eastAsia="宋体" w:cs="宋体"/>
                <w:b/>
                <w:sz w:val="20"/>
              </w:rPr>
            </w:pPr>
            <w:r>
              <w:rPr>
                <w:rFonts w:hint="eastAsia" w:ascii="Arial" w:hAnsi="Arial" w:eastAsia="宋体" w:cs="宋体"/>
                <w:b/>
                <w:kern w:val="0"/>
                <w:sz w:val="20"/>
                <w:lang w:bidi="ar"/>
              </w:rPr>
              <w:t>比例</w:t>
            </w:r>
          </w:p>
        </w:tc>
        <w:tc>
          <w:tcPr>
            <w:tcW w:w="1417" w:type="dxa"/>
            <w:tcBorders>
              <w:top w:val="single" w:color="FFFFFF" w:sz="8" w:space="0"/>
              <w:left w:val="single" w:color="4BACC6" w:sz="8" w:space="0"/>
              <w:bottom w:val="single" w:color="4BACC6" w:sz="8" w:space="0"/>
              <w:right w:val="single" w:color="4BACC6" w:sz="8" w:space="0"/>
            </w:tcBorders>
            <w:shd w:val="clear" w:color="auto" w:fill="B7DDE8"/>
          </w:tcPr>
          <w:p>
            <w:pPr>
              <w:widowControl/>
              <w:jc w:val="center"/>
              <w:textAlignment w:val="center"/>
              <w:rPr>
                <w:rFonts w:ascii="Arial" w:hAnsi="Arial" w:eastAsia="宋体" w:cs="宋体"/>
                <w:b/>
                <w:sz w:val="20"/>
              </w:rPr>
            </w:pPr>
            <w:r>
              <w:rPr>
                <w:rFonts w:hint="eastAsia" w:ascii="Arial" w:hAnsi="Arial" w:eastAsia="宋体" w:cs="宋体"/>
                <w:b/>
                <w:kern w:val="0"/>
                <w:sz w:val="20"/>
                <w:lang w:bidi="ar"/>
              </w:rPr>
              <w:t>人数</w:t>
            </w:r>
          </w:p>
        </w:tc>
        <w:tc>
          <w:tcPr>
            <w:tcW w:w="1417" w:type="dxa"/>
            <w:tcBorders>
              <w:top w:val="single" w:color="FFFFFF" w:sz="8" w:space="0"/>
              <w:left w:val="single" w:color="4BACC6" w:sz="8" w:space="0"/>
              <w:bottom w:val="single" w:color="4BACC6" w:sz="8" w:space="0"/>
              <w:right w:val="single" w:color="4BACC6" w:sz="8" w:space="0"/>
            </w:tcBorders>
            <w:shd w:val="clear" w:color="auto" w:fill="B7DDE8"/>
          </w:tcPr>
          <w:p>
            <w:pPr>
              <w:widowControl/>
              <w:jc w:val="center"/>
              <w:textAlignment w:val="center"/>
              <w:rPr>
                <w:rFonts w:ascii="Arial" w:hAnsi="Arial" w:eastAsia="宋体" w:cs="宋体"/>
                <w:b/>
                <w:sz w:val="20"/>
              </w:rPr>
            </w:pPr>
            <w:r>
              <w:rPr>
                <w:rFonts w:hint="eastAsia" w:ascii="Arial" w:hAnsi="Arial" w:eastAsia="宋体" w:cs="宋体"/>
                <w:b/>
                <w:kern w:val="0"/>
                <w:sz w:val="20"/>
                <w:lang w:bidi="ar"/>
              </w:rPr>
              <w:t>比例</w:t>
            </w:r>
          </w:p>
        </w:tc>
      </w:tr>
      <w:tr>
        <w:tblPrEx>
          <w:tblLayout w:type="fixed"/>
          <w:tblCellMar>
            <w:top w:w="0" w:type="dxa"/>
            <w:left w:w="108" w:type="dxa"/>
            <w:bottom w:w="0" w:type="dxa"/>
            <w:right w:w="108" w:type="dxa"/>
          </w:tblCellMar>
        </w:tblPrEx>
        <w:trPr>
          <w:trHeight w:val="365" w:hRule="atLeast"/>
          <w:jc w:val="center"/>
        </w:trPr>
        <w:tc>
          <w:tcPr>
            <w:tcW w:w="2620"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left"/>
              <w:textAlignment w:val="center"/>
              <w:rPr>
                <w:rFonts w:ascii="Arial" w:hAnsi="Arial" w:eastAsia="宋体" w:cs="宋体"/>
                <w:bCs/>
                <w:sz w:val="20"/>
              </w:rPr>
            </w:pPr>
            <w:r>
              <w:rPr>
                <w:rFonts w:hint="eastAsia" w:ascii="Arial" w:hAnsi="Arial" w:eastAsia="宋体" w:cs="宋体"/>
                <w:b/>
                <w:kern w:val="0"/>
                <w:sz w:val="20"/>
                <w:lang w:bidi="ar"/>
              </w:rPr>
              <w:t>共青团员</w:t>
            </w:r>
          </w:p>
        </w:tc>
        <w:tc>
          <w:tcPr>
            <w:tcW w:w="141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left"/>
              <w:textAlignment w:val="center"/>
              <w:rPr>
                <w:rFonts w:ascii="Arial" w:hAnsi="Arial" w:eastAsia="宋体" w:cs="宋体"/>
                <w:sz w:val="20"/>
              </w:rPr>
            </w:pPr>
            <w:r>
              <w:rPr>
                <w:rFonts w:hint="eastAsia" w:ascii="Arial" w:hAnsi="Arial" w:eastAsia="宋体" w:cs="宋体"/>
                <w:kern w:val="0"/>
                <w:sz w:val="20"/>
                <w:lang w:bidi="ar"/>
              </w:rPr>
              <w:t>2935</w:t>
            </w:r>
          </w:p>
        </w:tc>
        <w:tc>
          <w:tcPr>
            <w:tcW w:w="141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left"/>
              <w:textAlignment w:val="center"/>
              <w:rPr>
                <w:rFonts w:ascii="Arial" w:hAnsi="Arial" w:eastAsia="宋体" w:cs="宋体"/>
                <w:sz w:val="20"/>
              </w:rPr>
            </w:pPr>
            <w:r>
              <w:rPr>
                <w:rFonts w:hint="eastAsia" w:ascii="Arial" w:hAnsi="Arial" w:eastAsia="宋体" w:cs="宋体"/>
                <w:kern w:val="0"/>
                <w:sz w:val="20"/>
                <w:lang w:bidi="ar"/>
              </w:rPr>
              <w:t>94.68%</w:t>
            </w:r>
          </w:p>
        </w:tc>
        <w:tc>
          <w:tcPr>
            <w:tcW w:w="141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left"/>
              <w:textAlignment w:val="center"/>
              <w:rPr>
                <w:rFonts w:ascii="Arial" w:hAnsi="Arial" w:eastAsia="宋体" w:cs="宋体"/>
                <w:sz w:val="20"/>
              </w:rPr>
            </w:pPr>
            <w:r>
              <w:rPr>
                <w:rFonts w:hint="eastAsia" w:ascii="Arial" w:hAnsi="Arial" w:eastAsia="宋体" w:cs="宋体"/>
                <w:kern w:val="0"/>
                <w:sz w:val="20"/>
                <w:lang w:bidi="ar"/>
              </w:rPr>
              <w:t>643</w:t>
            </w:r>
          </w:p>
        </w:tc>
        <w:tc>
          <w:tcPr>
            <w:tcW w:w="141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left"/>
              <w:textAlignment w:val="center"/>
              <w:rPr>
                <w:rFonts w:ascii="Arial" w:hAnsi="Arial" w:eastAsia="宋体" w:cs="宋体"/>
                <w:sz w:val="20"/>
              </w:rPr>
            </w:pPr>
            <w:r>
              <w:rPr>
                <w:rFonts w:hint="eastAsia" w:ascii="Arial" w:hAnsi="Arial" w:eastAsia="宋体" w:cs="宋体"/>
                <w:kern w:val="0"/>
                <w:sz w:val="20"/>
                <w:lang w:bidi="ar"/>
              </w:rPr>
              <w:t>92.78%</w:t>
            </w:r>
          </w:p>
        </w:tc>
      </w:tr>
      <w:tr>
        <w:tblPrEx>
          <w:tblLayout w:type="fixed"/>
          <w:tblCellMar>
            <w:top w:w="0" w:type="dxa"/>
            <w:left w:w="108" w:type="dxa"/>
            <w:bottom w:w="0" w:type="dxa"/>
            <w:right w:w="108" w:type="dxa"/>
          </w:tblCellMar>
        </w:tblPrEx>
        <w:trPr>
          <w:trHeight w:val="355" w:hRule="atLeast"/>
          <w:jc w:val="center"/>
        </w:trPr>
        <w:tc>
          <w:tcPr>
            <w:tcW w:w="2620"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left"/>
              <w:textAlignment w:val="center"/>
              <w:rPr>
                <w:rFonts w:ascii="Arial" w:hAnsi="Arial" w:eastAsia="宋体" w:cs="宋体"/>
                <w:bCs/>
                <w:sz w:val="20"/>
              </w:rPr>
            </w:pPr>
            <w:r>
              <w:rPr>
                <w:rFonts w:hint="eastAsia" w:ascii="Arial" w:hAnsi="Arial" w:eastAsia="宋体" w:cs="宋体"/>
                <w:b/>
                <w:kern w:val="0"/>
                <w:sz w:val="20"/>
                <w:lang w:bidi="ar"/>
              </w:rPr>
              <w:t>群众</w:t>
            </w:r>
          </w:p>
        </w:tc>
        <w:tc>
          <w:tcPr>
            <w:tcW w:w="141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left"/>
              <w:textAlignment w:val="center"/>
              <w:rPr>
                <w:rFonts w:ascii="Arial" w:hAnsi="Arial" w:eastAsia="宋体" w:cs="宋体"/>
                <w:sz w:val="20"/>
              </w:rPr>
            </w:pPr>
            <w:r>
              <w:rPr>
                <w:rFonts w:hint="eastAsia" w:ascii="Arial" w:hAnsi="Arial" w:eastAsia="宋体" w:cs="宋体"/>
                <w:kern w:val="0"/>
                <w:sz w:val="20"/>
                <w:lang w:bidi="ar"/>
              </w:rPr>
              <w:t>110</w:t>
            </w:r>
          </w:p>
        </w:tc>
        <w:tc>
          <w:tcPr>
            <w:tcW w:w="141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left"/>
              <w:textAlignment w:val="center"/>
              <w:rPr>
                <w:rFonts w:ascii="Arial" w:hAnsi="Arial" w:eastAsia="宋体" w:cs="宋体"/>
                <w:sz w:val="20"/>
              </w:rPr>
            </w:pPr>
            <w:r>
              <w:rPr>
                <w:rFonts w:hint="eastAsia" w:ascii="Arial" w:hAnsi="Arial" w:eastAsia="宋体" w:cs="宋体"/>
                <w:kern w:val="0"/>
                <w:sz w:val="20"/>
                <w:lang w:bidi="ar"/>
              </w:rPr>
              <w:t>3.55%</w:t>
            </w:r>
          </w:p>
        </w:tc>
        <w:tc>
          <w:tcPr>
            <w:tcW w:w="141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left"/>
              <w:textAlignment w:val="center"/>
              <w:rPr>
                <w:rFonts w:ascii="Arial" w:hAnsi="Arial" w:eastAsia="宋体" w:cs="宋体"/>
                <w:sz w:val="20"/>
              </w:rPr>
            </w:pPr>
            <w:r>
              <w:rPr>
                <w:rFonts w:hint="eastAsia" w:ascii="Arial" w:hAnsi="Arial" w:eastAsia="宋体" w:cs="宋体"/>
                <w:kern w:val="0"/>
                <w:sz w:val="20"/>
                <w:lang w:bidi="ar"/>
              </w:rPr>
              <w:t>47</w:t>
            </w:r>
          </w:p>
        </w:tc>
        <w:tc>
          <w:tcPr>
            <w:tcW w:w="141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left"/>
              <w:textAlignment w:val="center"/>
              <w:rPr>
                <w:rFonts w:ascii="Arial" w:hAnsi="Arial" w:eastAsia="宋体" w:cs="宋体"/>
                <w:sz w:val="20"/>
              </w:rPr>
            </w:pPr>
            <w:r>
              <w:rPr>
                <w:rFonts w:hint="eastAsia" w:ascii="Arial" w:hAnsi="Arial" w:eastAsia="宋体" w:cs="宋体"/>
                <w:kern w:val="0"/>
                <w:sz w:val="20"/>
                <w:lang w:bidi="ar"/>
              </w:rPr>
              <w:t>6.78%</w:t>
            </w:r>
          </w:p>
        </w:tc>
      </w:tr>
      <w:tr>
        <w:tblPrEx>
          <w:tblLayout w:type="fixed"/>
          <w:tblCellMar>
            <w:top w:w="0" w:type="dxa"/>
            <w:left w:w="108" w:type="dxa"/>
            <w:bottom w:w="0" w:type="dxa"/>
            <w:right w:w="108" w:type="dxa"/>
          </w:tblCellMar>
        </w:tblPrEx>
        <w:trPr>
          <w:trHeight w:val="355" w:hRule="atLeast"/>
          <w:jc w:val="center"/>
        </w:trPr>
        <w:tc>
          <w:tcPr>
            <w:tcW w:w="2620"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left"/>
              <w:textAlignment w:val="center"/>
              <w:rPr>
                <w:rFonts w:ascii="Arial" w:hAnsi="Arial" w:eastAsia="宋体" w:cs="宋体"/>
                <w:bCs/>
                <w:sz w:val="20"/>
              </w:rPr>
            </w:pPr>
            <w:r>
              <w:rPr>
                <w:rFonts w:hint="eastAsia" w:ascii="Arial" w:hAnsi="Arial" w:eastAsia="宋体" w:cs="宋体"/>
                <w:b/>
                <w:kern w:val="0"/>
                <w:sz w:val="20"/>
                <w:lang w:bidi="ar"/>
              </w:rPr>
              <w:t>中共党员</w:t>
            </w:r>
          </w:p>
        </w:tc>
        <w:tc>
          <w:tcPr>
            <w:tcW w:w="141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left"/>
              <w:textAlignment w:val="center"/>
              <w:rPr>
                <w:rFonts w:ascii="Arial" w:hAnsi="Arial" w:eastAsia="宋体" w:cs="宋体"/>
                <w:sz w:val="20"/>
              </w:rPr>
            </w:pPr>
            <w:r>
              <w:rPr>
                <w:rFonts w:hint="eastAsia" w:ascii="Arial" w:hAnsi="Arial" w:eastAsia="宋体" w:cs="宋体"/>
                <w:kern w:val="0"/>
                <w:sz w:val="20"/>
                <w:lang w:bidi="ar"/>
              </w:rPr>
              <w:t>28</w:t>
            </w:r>
          </w:p>
        </w:tc>
        <w:tc>
          <w:tcPr>
            <w:tcW w:w="141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left"/>
              <w:textAlignment w:val="center"/>
              <w:rPr>
                <w:rFonts w:ascii="Arial" w:hAnsi="Arial" w:eastAsia="宋体" w:cs="宋体"/>
                <w:sz w:val="20"/>
              </w:rPr>
            </w:pPr>
            <w:r>
              <w:rPr>
                <w:rFonts w:hint="eastAsia" w:ascii="Arial" w:hAnsi="Arial" w:eastAsia="宋体" w:cs="宋体"/>
                <w:kern w:val="0"/>
                <w:sz w:val="20"/>
                <w:lang w:bidi="ar"/>
              </w:rPr>
              <w:t>0.90%</w:t>
            </w:r>
          </w:p>
        </w:tc>
        <w:tc>
          <w:tcPr>
            <w:tcW w:w="141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left"/>
              <w:textAlignment w:val="center"/>
              <w:rPr>
                <w:rFonts w:ascii="Arial" w:hAnsi="Arial" w:eastAsia="宋体" w:cs="宋体"/>
                <w:sz w:val="20"/>
              </w:rPr>
            </w:pPr>
            <w:r>
              <w:rPr>
                <w:rFonts w:hint="eastAsia" w:ascii="Arial" w:hAnsi="Arial" w:eastAsia="宋体" w:cs="宋体"/>
                <w:kern w:val="0"/>
                <w:sz w:val="20"/>
                <w:lang w:bidi="ar"/>
              </w:rPr>
              <w:t>3</w:t>
            </w:r>
          </w:p>
        </w:tc>
        <w:tc>
          <w:tcPr>
            <w:tcW w:w="141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left"/>
              <w:textAlignment w:val="center"/>
              <w:rPr>
                <w:rFonts w:ascii="Arial" w:hAnsi="Arial" w:eastAsia="宋体" w:cs="宋体"/>
                <w:sz w:val="20"/>
              </w:rPr>
            </w:pPr>
            <w:r>
              <w:rPr>
                <w:rFonts w:hint="eastAsia" w:ascii="Arial" w:hAnsi="Arial" w:eastAsia="宋体" w:cs="宋体"/>
                <w:kern w:val="0"/>
                <w:sz w:val="20"/>
                <w:lang w:bidi="ar"/>
              </w:rPr>
              <w:t>0.43%</w:t>
            </w:r>
          </w:p>
        </w:tc>
      </w:tr>
      <w:tr>
        <w:tblPrEx>
          <w:tblLayout w:type="fixed"/>
          <w:tblCellMar>
            <w:top w:w="0" w:type="dxa"/>
            <w:left w:w="108" w:type="dxa"/>
            <w:bottom w:w="0" w:type="dxa"/>
            <w:right w:w="108" w:type="dxa"/>
          </w:tblCellMar>
        </w:tblPrEx>
        <w:trPr>
          <w:trHeight w:val="355" w:hRule="atLeast"/>
          <w:jc w:val="center"/>
        </w:trPr>
        <w:tc>
          <w:tcPr>
            <w:tcW w:w="2620"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left"/>
              <w:textAlignment w:val="center"/>
              <w:rPr>
                <w:rFonts w:ascii="Arial" w:hAnsi="Arial" w:eastAsia="宋体" w:cs="宋体"/>
                <w:bCs/>
                <w:sz w:val="20"/>
              </w:rPr>
            </w:pPr>
            <w:r>
              <w:rPr>
                <w:rFonts w:hint="eastAsia" w:ascii="Arial" w:hAnsi="Arial" w:eastAsia="宋体" w:cs="宋体"/>
                <w:b/>
                <w:kern w:val="0"/>
                <w:sz w:val="20"/>
                <w:lang w:bidi="ar"/>
              </w:rPr>
              <w:t>中共预备党员</w:t>
            </w:r>
          </w:p>
        </w:tc>
        <w:tc>
          <w:tcPr>
            <w:tcW w:w="141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left"/>
              <w:textAlignment w:val="center"/>
              <w:rPr>
                <w:rFonts w:ascii="Arial" w:hAnsi="Arial" w:eastAsia="宋体" w:cs="宋体"/>
                <w:sz w:val="20"/>
              </w:rPr>
            </w:pPr>
            <w:r>
              <w:rPr>
                <w:rFonts w:hint="eastAsia" w:ascii="Arial" w:hAnsi="Arial" w:eastAsia="宋体" w:cs="宋体"/>
                <w:kern w:val="0"/>
                <w:sz w:val="20"/>
                <w:lang w:bidi="ar"/>
              </w:rPr>
              <w:t>27</w:t>
            </w:r>
          </w:p>
        </w:tc>
        <w:tc>
          <w:tcPr>
            <w:tcW w:w="141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left"/>
              <w:textAlignment w:val="center"/>
              <w:rPr>
                <w:rFonts w:ascii="Arial" w:hAnsi="Arial" w:eastAsia="宋体" w:cs="宋体"/>
                <w:sz w:val="20"/>
              </w:rPr>
            </w:pPr>
            <w:r>
              <w:rPr>
                <w:rFonts w:hint="eastAsia" w:ascii="Arial" w:hAnsi="Arial" w:eastAsia="宋体" w:cs="宋体"/>
                <w:kern w:val="0"/>
                <w:sz w:val="20"/>
                <w:lang w:bidi="ar"/>
              </w:rPr>
              <w:t>0.87%</w:t>
            </w:r>
          </w:p>
        </w:tc>
        <w:tc>
          <w:tcPr>
            <w:tcW w:w="1417" w:type="dxa"/>
            <w:tcBorders>
              <w:top w:val="single" w:color="4BACC6" w:sz="8" w:space="0"/>
              <w:left w:val="single" w:color="4BACC6" w:sz="8" w:space="0"/>
              <w:bottom w:val="single" w:color="4BACC6" w:sz="8" w:space="0"/>
              <w:right w:val="single" w:color="4BACC6" w:sz="8" w:space="0"/>
            </w:tcBorders>
            <w:shd w:val="clear" w:color="auto" w:fill="B7DDE8"/>
          </w:tcPr>
          <w:p>
            <w:pPr>
              <w:rPr>
                <w:rFonts w:ascii="Arial" w:hAnsi="Arial" w:eastAsia="宋体" w:cs="宋体"/>
                <w:sz w:val="20"/>
              </w:rPr>
            </w:pPr>
            <w:r>
              <w:rPr>
                <w:rFonts w:hint="eastAsia" w:ascii="Arial" w:hAnsi="Arial" w:eastAsia="宋体" w:cs="宋体"/>
                <w:sz w:val="20"/>
              </w:rPr>
              <w:t>0</w:t>
            </w:r>
          </w:p>
        </w:tc>
        <w:tc>
          <w:tcPr>
            <w:tcW w:w="141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left"/>
              <w:textAlignment w:val="center"/>
              <w:rPr>
                <w:rFonts w:ascii="Arial" w:hAnsi="Arial" w:eastAsia="宋体" w:cs="宋体"/>
                <w:sz w:val="20"/>
              </w:rPr>
            </w:pPr>
            <w:r>
              <w:rPr>
                <w:rFonts w:hint="eastAsia" w:ascii="Arial" w:hAnsi="Arial" w:eastAsia="宋体" w:cs="宋体"/>
                <w:kern w:val="0"/>
                <w:sz w:val="20"/>
                <w:lang w:bidi="ar"/>
              </w:rPr>
              <w:t>0.00%</w:t>
            </w:r>
          </w:p>
        </w:tc>
      </w:tr>
      <w:tr>
        <w:tblPrEx>
          <w:tblLayout w:type="fixed"/>
          <w:tblCellMar>
            <w:top w:w="0" w:type="dxa"/>
            <w:left w:w="108" w:type="dxa"/>
            <w:bottom w:w="0" w:type="dxa"/>
            <w:right w:w="108" w:type="dxa"/>
          </w:tblCellMar>
        </w:tblPrEx>
        <w:trPr>
          <w:trHeight w:val="365" w:hRule="atLeast"/>
          <w:jc w:val="center"/>
        </w:trPr>
        <w:tc>
          <w:tcPr>
            <w:tcW w:w="2620"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left"/>
              <w:textAlignment w:val="center"/>
              <w:rPr>
                <w:rFonts w:ascii="Arial" w:hAnsi="Arial" w:eastAsia="宋体" w:cs="宋体"/>
                <w:b/>
                <w:bCs/>
                <w:sz w:val="20"/>
              </w:rPr>
            </w:pPr>
            <w:r>
              <w:rPr>
                <w:rFonts w:hint="eastAsia" w:ascii="Arial" w:hAnsi="Arial" w:eastAsia="宋体" w:cs="宋体"/>
                <w:kern w:val="0"/>
                <w:sz w:val="20"/>
                <w:lang w:bidi="ar"/>
              </w:rPr>
              <w:t>总计</w:t>
            </w:r>
          </w:p>
        </w:tc>
        <w:tc>
          <w:tcPr>
            <w:tcW w:w="141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left"/>
              <w:textAlignment w:val="center"/>
              <w:rPr>
                <w:rFonts w:ascii="Arial" w:hAnsi="Arial" w:eastAsia="宋体" w:cs="宋体"/>
                <w:b/>
                <w:sz w:val="20"/>
              </w:rPr>
            </w:pPr>
            <w:r>
              <w:rPr>
                <w:rFonts w:hint="eastAsia" w:ascii="Arial" w:hAnsi="Arial" w:eastAsia="宋体" w:cs="宋体"/>
                <w:b/>
                <w:kern w:val="0"/>
                <w:sz w:val="20"/>
                <w:lang w:bidi="ar"/>
              </w:rPr>
              <w:t>3100</w:t>
            </w:r>
          </w:p>
        </w:tc>
        <w:tc>
          <w:tcPr>
            <w:tcW w:w="141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left"/>
              <w:textAlignment w:val="center"/>
              <w:rPr>
                <w:rFonts w:ascii="Arial" w:hAnsi="Arial" w:eastAsia="宋体" w:cs="宋体"/>
                <w:b/>
                <w:sz w:val="20"/>
              </w:rPr>
            </w:pPr>
          </w:p>
        </w:tc>
        <w:tc>
          <w:tcPr>
            <w:tcW w:w="141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left"/>
              <w:textAlignment w:val="center"/>
              <w:rPr>
                <w:rFonts w:ascii="Arial" w:hAnsi="Arial" w:eastAsia="宋体" w:cs="宋体"/>
                <w:b/>
                <w:sz w:val="20"/>
              </w:rPr>
            </w:pPr>
            <w:r>
              <w:rPr>
                <w:rFonts w:hint="eastAsia" w:ascii="Arial" w:hAnsi="Arial" w:eastAsia="宋体" w:cs="宋体"/>
                <w:b/>
                <w:kern w:val="0"/>
                <w:sz w:val="20"/>
                <w:lang w:bidi="ar"/>
              </w:rPr>
              <w:t>693</w:t>
            </w:r>
          </w:p>
        </w:tc>
        <w:tc>
          <w:tcPr>
            <w:tcW w:w="141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left"/>
              <w:textAlignment w:val="center"/>
              <w:rPr>
                <w:rFonts w:ascii="Arial" w:hAnsi="Arial" w:eastAsia="宋体" w:cs="宋体"/>
                <w:b/>
                <w:sz w:val="20"/>
              </w:rPr>
            </w:pPr>
          </w:p>
        </w:tc>
      </w:tr>
    </w:tbl>
    <w:p>
      <w:pPr>
        <w:spacing w:before="156" w:beforeLines="50" w:after="156" w:afterLines="50"/>
        <w:ind w:firstLine="420" w:firstLineChars="200"/>
        <w:rPr>
          <w:rFonts w:ascii="Times New Roman" w:hAnsi="Times New Roman"/>
          <w:szCs w:val="18"/>
        </w:rPr>
      </w:pPr>
      <w:r>
        <w:rPr>
          <w:rFonts w:hint="eastAsia" w:ascii="Times New Roman" w:hAnsi="Times New Roman"/>
          <w:szCs w:val="18"/>
        </w:rPr>
        <w:t>注：由于四舍五入的原因，数据占比之和可能会出现不等于100%的情况。</w:t>
      </w:r>
    </w:p>
    <w:p>
      <w:pPr>
        <w:pStyle w:val="33"/>
        <w:tabs>
          <w:tab w:val="left" w:pos="312"/>
        </w:tabs>
        <w:spacing w:before="100" w:after="100" w:afterLines="0" w:line="360" w:lineRule="auto"/>
        <w:ind w:left="482" w:firstLine="0" w:firstLineChars="0"/>
        <w:outlineLvl w:val="2"/>
        <w:rPr>
          <w:rFonts w:ascii="Times New Roman" w:hAnsi="Times New Roman" w:eastAsia="宋体"/>
          <w:b w:val="0"/>
          <w:bCs w:val="0"/>
          <w:sz w:val="24"/>
          <w:szCs w:val="24"/>
        </w:rPr>
      </w:pPr>
      <w:bookmarkStart w:id="55" w:name="_Toc30514"/>
      <w:bookmarkStart w:id="56" w:name="_Toc501407175"/>
      <w:bookmarkStart w:id="57" w:name="_Toc24905"/>
      <w:bookmarkStart w:id="58" w:name="_Toc501407783"/>
      <w:r>
        <w:rPr>
          <w:rFonts w:hint="eastAsia" w:ascii="Times New Roman" w:hAnsi="Times New Roman" w:eastAsia="宋体"/>
          <w:b w:val="0"/>
          <w:bCs w:val="0"/>
          <w:sz w:val="24"/>
          <w:szCs w:val="24"/>
        </w:rPr>
        <w:t>4.2  2017届困难毕业生类别分布情况</w:t>
      </w:r>
      <w:bookmarkEnd w:id="55"/>
      <w:bookmarkEnd w:id="56"/>
      <w:bookmarkEnd w:id="57"/>
      <w:bookmarkEnd w:id="58"/>
      <w:r>
        <w:rPr>
          <w:rFonts w:hint="eastAsia" w:ascii="Times New Roman" w:hAnsi="Times New Roman" w:eastAsia="宋体"/>
          <w:b w:val="0"/>
          <w:bCs w:val="0"/>
          <w:sz w:val="24"/>
          <w:szCs w:val="24"/>
        </w:rPr>
        <w:tab/>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从困难生分布来看，2017届本科毕业生中，非困难生占比75.65%，家庭困难生占比21.16%，就业困难生占比2.29%；专科毕业生中，非困难生占比78.35%，家庭困难生占比12.12%，就业困难生占比5.48%。专科毕业生就业困难比例高于本科毕业生。</w:t>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表1-8 2017届困难毕业生分布</w:t>
      </w:r>
    </w:p>
    <w:tbl>
      <w:tblPr>
        <w:tblStyle w:val="26"/>
        <w:tblW w:w="82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676"/>
        <w:gridCol w:w="1400"/>
        <w:gridCol w:w="1400"/>
        <w:gridCol w:w="1400"/>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jc w:val="center"/>
        </w:trPr>
        <w:tc>
          <w:tcPr>
            <w:tcW w:w="2676" w:type="dxa"/>
            <w:vMerge w:val="restart"/>
            <w:tcBorders>
              <w:top w:val="single" w:color="4BACC6" w:sz="8" w:space="0"/>
              <w:left w:val="single" w:color="4BACC6" w:sz="8" w:space="0"/>
              <w:bottom w:val="single" w:color="FFFFFF" w:sz="4" w:space="0"/>
              <w:right w:val="single" w:color="4BACC6" w:sz="8" w:space="0"/>
            </w:tcBorders>
            <w:shd w:val="clear" w:color="DDEBF7" w:fill="4BACC6"/>
            <w:tcMar>
              <w:top w:w="15" w:type="dxa"/>
              <w:left w:w="108" w:type="dxa"/>
              <w:bottom w:w="15" w:type="dxa"/>
              <w:right w:w="108" w:type="dxa"/>
            </w:tcMar>
            <w:vAlign w:val="center"/>
          </w:tcPr>
          <w:p>
            <w:pPr>
              <w:widowControl/>
              <w:jc w:val="center"/>
              <w:textAlignment w:val="center"/>
              <w:rPr>
                <w:rFonts w:ascii="Arial" w:hAnsi="Arial" w:eastAsia="宋体" w:cs="宋体"/>
                <w:b/>
                <w:sz w:val="20"/>
                <w:szCs w:val="20"/>
              </w:rPr>
            </w:pPr>
            <w:r>
              <w:rPr>
                <w:rFonts w:hint="eastAsia" w:ascii="Arial" w:hAnsi="Arial" w:eastAsia="宋体" w:cs="宋体"/>
                <w:b/>
                <w:kern w:val="0"/>
                <w:sz w:val="20"/>
                <w:szCs w:val="20"/>
                <w:lang w:bidi="ar"/>
              </w:rPr>
              <w:t>困难生</w:t>
            </w:r>
          </w:p>
        </w:tc>
        <w:tc>
          <w:tcPr>
            <w:tcW w:w="2800" w:type="dxa"/>
            <w:gridSpan w:val="2"/>
            <w:tcBorders>
              <w:top w:val="single" w:color="4BACC6" w:sz="8" w:space="0"/>
              <w:left w:val="single" w:color="4BACC6" w:sz="8" w:space="0"/>
              <w:bottom w:val="single" w:color="FFFFFF" w:sz="4" w:space="0"/>
              <w:right w:val="single" w:color="4BACC6" w:sz="8" w:space="0"/>
            </w:tcBorders>
            <w:shd w:val="clear" w:color="DDEBF7" w:fill="4BACC6"/>
            <w:tcMar>
              <w:top w:w="15" w:type="dxa"/>
              <w:left w:w="108" w:type="dxa"/>
              <w:bottom w:w="15" w:type="dxa"/>
              <w:right w:w="108" w:type="dxa"/>
            </w:tcMar>
            <w:vAlign w:val="center"/>
          </w:tcPr>
          <w:p>
            <w:pPr>
              <w:widowControl/>
              <w:jc w:val="center"/>
              <w:textAlignment w:val="center"/>
              <w:rPr>
                <w:rFonts w:ascii="Arial" w:hAnsi="Arial" w:eastAsia="宋体" w:cs="宋体"/>
                <w:b/>
                <w:sz w:val="20"/>
                <w:szCs w:val="20"/>
              </w:rPr>
            </w:pPr>
            <w:r>
              <w:rPr>
                <w:rFonts w:hint="eastAsia" w:ascii="Arial" w:hAnsi="Arial" w:eastAsia="宋体" w:cs="宋体"/>
                <w:b/>
                <w:kern w:val="0"/>
                <w:sz w:val="20"/>
                <w:szCs w:val="20"/>
                <w:lang w:bidi="ar"/>
              </w:rPr>
              <w:t>本科生毕业</w:t>
            </w:r>
          </w:p>
        </w:tc>
        <w:tc>
          <w:tcPr>
            <w:tcW w:w="2800" w:type="dxa"/>
            <w:gridSpan w:val="2"/>
            <w:tcBorders>
              <w:top w:val="single" w:color="4BACC6" w:sz="8" w:space="0"/>
              <w:left w:val="single" w:color="4BACC6" w:sz="8" w:space="0"/>
              <w:bottom w:val="single" w:color="FFFFFF" w:sz="4" w:space="0"/>
              <w:right w:val="single" w:color="4BACC6" w:sz="8" w:space="0"/>
            </w:tcBorders>
            <w:shd w:val="clear" w:color="DDEBF7" w:fill="4BACC6"/>
            <w:tcMar>
              <w:top w:w="15" w:type="dxa"/>
              <w:left w:w="108" w:type="dxa"/>
              <w:bottom w:w="15" w:type="dxa"/>
              <w:right w:w="108" w:type="dxa"/>
            </w:tcMar>
            <w:vAlign w:val="center"/>
          </w:tcPr>
          <w:p>
            <w:pPr>
              <w:widowControl/>
              <w:jc w:val="center"/>
              <w:textAlignment w:val="center"/>
              <w:rPr>
                <w:rFonts w:ascii="Arial" w:hAnsi="Arial" w:eastAsia="宋体" w:cs="宋体"/>
                <w:b/>
                <w:kern w:val="0"/>
                <w:sz w:val="20"/>
                <w:szCs w:val="20"/>
                <w:lang w:bidi="ar"/>
              </w:rPr>
            </w:pPr>
            <w:r>
              <w:rPr>
                <w:rFonts w:hint="eastAsia" w:ascii="Arial" w:hAnsi="Arial" w:eastAsia="宋体" w:cs="宋体"/>
                <w:b/>
                <w:kern w:val="0"/>
                <w:sz w:val="20"/>
                <w:szCs w:val="20"/>
                <w:lang w:bidi="ar"/>
              </w:rPr>
              <w:t>专科生毕业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jc w:val="center"/>
        </w:trPr>
        <w:tc>
          <w:tcPr>
            <w:tcW w:w="2676" w:type="dxa"/>
            <w:vMerge w:val="continue"/>
            <w:tcBorders>
              <w:top w:val="single" w:color="FFFFFF" w:sz="4" w:space="0"/>
              <w:left w:val="single" w:color="4BACC6" w:sz="8" w:space="0"/>
              <w:bottom w:val="single" w:color="4BACC6" w:sz="8" w:space="0"/>
              <w:right w:val="single" w:color="4BACC6" w:sz="8" w:space="0"/>
            </w:tcBorders>
            <w:shd w:val="clear" w:color="DDEBF7" w:fill="B7DDE8"/>
            <w:tcMar>
              <w:top w:w="15" w:type="dxa"/>
              <w:left w:w="108" w:type="dxa"/>
              <w:bottom w:w="15" w:type="dxa"/>
              <w:right w:w="108" w:type="dxa"/>
            </w:tcMar>
            <w:vAlign w:val="center"/>
          </w:tcPr>
          <w:p>
            <w:pPr>
              <w:jc w:val="center"/>
              <w:rPr>
                <w:rFonts w:ascii="Arial" w:hAnsi="Arial" w:eastAsia="宋体" w:cs="宋体"/>
                <w:b/>
                <w:sz w:val="20"/>
                <w:szCs w:val="20"/>
              </w:rPr>
            </w:pPr>
          </w:p>
        </w:tc>
        <w:tc>
          <w:tcPr>
            <w:tcW w:w="1400" w:type="dxa"/>
            <w:tcBorders>
              <w:top w:val="single" w:color="FFFFFF" w:sz="4" w:space="0"/>
              <w:left w:val="single" w:color="4BACC6" w:sz="8" w:space="0"/>
              <w:bottom w:val="single" w:color="4BACC6" w:sz="8" w:space="0"/>
              <w:right w:val="single" w:color="4BACC6" w:sz="8" w:space="0"/>
            </w:tcBorders>
            <w:shd w:val="clear" w:color="DDEBF7" w:fill="B7DDE8"/>
            <w:tcMar>
              <w:top w:w="15" w:type="dxa"/>
              <w:left w:w="108" w:type="dxa"/>
              <w:bottom w:w="15" w:type="dxa"/>
              <w:right w:w="108" w:type="dxa"/>
            </w:tcMar>
            <w:vAlign w:val="center"/>
          </w:tcPr>
          <w:p>
            <w:pPr>
              <w:widowControl/>
              <w:jc w:val="left"/>
              <w:textAlignment w:val="center"/>
              <w:rPr>
                <w:rFonts w:ascii="Arial" w:hAnsi="Arial" w:eastAsia="宋体" w:cs="宋体"/>
                <w:b/>
                <w:sz w:val="20"/>
                <w:szCs w:val="20"/>
              </w:rPr>
            </w:pPr>
            <w:r>
              <w:rPr>
                <w:rFonts w:hint="eastAsia" w:ascii="Arial" w:hAnsi="Arial" w:eastAsia="宋体" w:cs="宋体"/>
                <w:b/>
                <w:kern w:val="0"/>
                <w:sz w:val="20"/>
                <w:szCs w:val="20"/>
                <w:lang w:bidi="ar"/>
              </w:rPr>
              <w:t>人数</w:t>
            </w:r>
          </w:p>
        </w:tc>
        <w:tc>
          <w:tcPr>
            <w:tcW w:w="1400" w:type="dxa"/>
            <w:tcBorders>
              <w:top w:val="single" w:color="FFFFFF" w:sz="4" w:space="0"/>
              <w:left w:val="single" w:color="4BACC6" w:sz="8" w:space="0"/>
              <w:bottom w:val="single" w:color="4BACC6" w:sz="8" w:space="0"/>
              <w:right w:val="single" w:color="4BACC6" w:sz="8" w:space="0"/>
            </w:tcBorders>
            <w:shd w:val="clear" w:color="DDEBF7" w:fill="B7DDE8"/>
            <w:tcMar>
              <w:top w:w="15" w:type="dxa"/>
              <w:left w:w="108" w:type="dxa"/>
              <w:bottom w:w="15" w:type="dxa"/>
              <w:right w:w="108" w:type="dxa"/>
            </w:tcMar>
            <w:vAlign w:val="center"/>
          </w:tcPr>
          <w:p>
            <w:pPr>
              <w:widowControl/>
              <w:jc w:val="left"/>
              <w:textAlignment w:val="center"/>
              <w:rPr>
                <w:rFonts w:ascii="Arial" w:hAnsi="Arial" w:eastAsia="宋体" w:cs="宋体"/>
                <w:b/>
                <w:sz w:val="20"/>
                <w:szCs w:val="20"/>
              </w:rPr>
            </w:pPr>
            <w:r>
              <w:rPr>
                <w:rFonts w:hint="eastAsia" w:ascii="Arial" w:hAnsi="Arial" w:eastAsia="宋体" w:cs="宋体"/>
                <w:b/>
                <w:kern w:val="0"/>
                <w:sz w:val="20"/>
                <w:szCs w:val="20"/>
                <w:lang w:bidi="ar"/>
              </w:rPr>
              <w:t>比例</w:t>
            </w:r>
          </w:p>
        </w:tc>
        <w:tc>
          <w:tcPr>
            <w:tcW w:w="1400" w:type="dxa"/>
            <w:tcBorders>
              <w:top w:val="single" w:color="FFFFFF" w:sz="4" w:space="0"/>
              <w:left w:val="single" w:color="4BACC6" w:sz="8" w:space="0"/>
              <w:bottom w:val="single" w:color="4BACC6" w:sz="8" w:space="0"/>
              <w:right w:val="single" w:color="4BACC6" w:sz="8" w:space="0"/>
            </w:tcBorders>
            <w:shd w:val="clear" w:color="DDEBF7" w:fill="B7DDE8"/>
            <w:tcMar>
              <w:top w:w="15" w:type="dxa"/>
              <w:left w:w="108" w:type="dxa"/>
              <w:bottom w:w="15" w:type="dxa"/>
              <w:right w:w="108" w:type="dxa"/>
            </w:tcMar>
            <w:vAlign w:val="center"/>
          </w:tcPr>
          <w:p>
            <w:pPr>
              <w:widowControl/>
              <w:jc w:val="left"/>
              <w:textAlignment w:val="center"/>
              <w:rPr>
                <w:rFonts w:ascii="Arial" w:hAnsi="Arial" w:eastAsia="宋体" w:cs="宋体"/>
                <w:b/>
                <w:sz w:val="20"/>
                <w:szCs w:val="20"/>
              </w:rPr>
            </w:pPr>
            <w:r>
              <w:rPr>
                <w:rFonts w:hint="eastAsia" w:ascii="Arial" w:hAnsi="Arial" w:eastAsia="宋体" w:cs="宋体"/>
                <w:b/>
                <w:kern w:val="0"/>
                <w:sz w:val="20"/>
                <w:szCs w:val="20"/>
                <w:lang w:bidi="ar"/>
              </w:rPr>
              <w:t>人数</w:t>
            </w:r>
          </w:p>
        </w:tc>
        <w:tc>
          <w:tcPr>
            <w:tcW w:w="1400" w:type="dxa"/>
            <w:tcBorders>
              <w:top w:val="single" w:color="FFFFFF" w:sz="4" w:space="0"/>
              <w:left w:val="single" w:color="4BACC6" w:sz="8" w:space="0"/>
              <w:bottom w:val="single" w:color="4BACC6" w:sz="8" w:space="0"/>
              <w:right w:val="single" w:color="4BACC6" w:sz="8" w:space="0"/>
            </w:tcBorders>
            <w:shd w:val="clear" w:color="DDEBF7" w:fill="B7DDE8"/>
            <w:tcMar>
              <w:top w:w="15" w:type="dxa"/>
              <w:left w:w="108" w:type="dxa"/>
              <w:bottom w:w="15" w:type="dxa"/>
              <w:right w:w="108" w:type="dxa"/>
            </w:tcMar>
            <w:vAlign w:val="center"/>
          </w:tcPr>
          <w:p>
            <w:pPr>
              <w:widowControl/>
              <w:jc w:val="left"/>
              <w:textAlignment w:val="center"/>
              <w:rPr>
                <w:rFonts w:ascii="Arial" w:hAnsi="Arial" w:eastAsia="宋体" w:cs="宋体"/>
                <w:b/>
                <w:sz w:val="20"/>
                <w:szCs w:val="20"/>
              </w:rPr>
            </w:pPr>
            <w:r>
              <w:rPr>
                <w:rFonts w:hint="eastAsia" w:ascii="Arial" w:hAnsi="Arial" w:eastAsia="宋体" w:cs="宋体"/>
                <w:b/>
                <w:kern w:val="0"/>
                <w:sz w:val="20"/>
                <w:szCs w:val="20"/>
                <w:lang w:bidi="ar"/>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jc w:val="center"/>
        </w:trPr>
        <w:tc>
          <w:tcPr>
            <w:tcW w:w="2676" w:type="dxa"/>
            <w:tcBorders>
              <w:top w:val="single" w:color="4BACC6" w:sz="8" w:space="0"/>
              <w:left w:val="single" w:color="4BACC6" w:sz="8" w:space="0"/>
              <w:bottom w:val="single" w:color="4BACC6" w:sz="8" w:space="0"/>
              <w:right w:val="single" w:color="4BACC6" w:sz="8" w:space="0"/>
            </w:tcBorders>
            <w:shd w:val="clear" w:color="auto" w:fill="FFFFFF"/>
            <w:tcMar>
              <w:top w:w="15" w:type="dxa"/>
              <w:left w:w="108" w:type="dxa"/>
              <w:bottom w:w="15" w:type="dxa"/>
              <w:right w:w="108" w:type="dxa"/>
            </w:tcMar>
            <w:vAlign w:val="center"/>
          </w:tcPr>
          <w:p>
            <w:pPr>
              <w:widowControl/>
              <w:jc w:val="left"/>
              <w:textAlignment w:val="center"/>
              <w:rPr>
                <w:rFonts w:ascii="Arial" w:hAnsi="Arial" w:eastAsia="宋体" w:cs="宋体"/>
                <w:sz w:val="20"/>
                <w:szCs w:val="20"/>
              </w:rPr>
            </w:pPr>
            <w:r>
              <w:rPr>
                <w:rFonts w:hint="eastAsia" w:ascii="Arial" w:hAnsi="Arial" w:eastAsia="宋体" w:cs="宋体"/>
                <w:kern w:val="0"/>
                <w:sz w:val="20"/>
                <w:szCs w:val="20"/>
                <w:lang w:bidi="ar"/>
              </w:rPr>
              <w:t>非困难生</w:t>
            </w:r>
          </w:p>
        </w:tc>
        <w:tc>
          <w:tcPr>
            <w:tcW w:w="1400" w:type="dxa"/>
            <w:tcBorders>
              <w:top w:val="single" w:color="4BACC6" w:sz="8" w:space="0"/>
              <w:left w:val="single" w:color="4BACC6" w:sz="8" w:space="0"/>
              <w:bottom w:val="single" w:color="4BACC6" w:sz="8" w:space="0"/>
              <w:right w:val="single" w:color="4BACC6" w:sz="8" w:space="0"/>
            </w:tcBorders>
            <w:shd w:val="clear" w:color="auto" w:fill="FFFFFF"/>
            <w:tcMar>
              <w:top w:w="15" w:type="dxa"/>
              <w:left w:w="108" w:type="dxa"/>
              <w:bottom w:w="15" w:type="dxa"/>
              <w:right w:w="108" w:type="dxa"/>
            </w:tcMar>
            <w:vAlign w:val="center"/>
          </w:tcPr>
          <w:p>
            <w:pPr>
              <w:widowControl/>
              <w:jc w:val="left"/>
              <w:textAlignment w:val="center"/>
              <w:rPr>
                <w:rFonts w:ascii="Arial" w:hAnsi="Arial" w:eastAsia="宋体" w:cs="宋体"/>
                <w:sz w:val="20"/>
                <w:szCs w:val="20"/>
              </w:rPr>
            </w:pPr>
            <w:r>
              <w:rPr>
                <w:rFonts w:hint="eastAsia" w:ascii="Arial" w:hAnsi="Arial" w:eastAsia="宋体" w:cs="宋体"/>
                <w:kern w:val="0"/>
                <w:sz w:val="20"/>
                <w:szCs w:val="20"/>
                <w:lang w:bidi="ar"/>
              </w:rPr>
              <w:t>2345</w:t>
            </w:r>
          </w:p>
        </w:tc>
        <w:tc>
          <w:tcPr>
            <w:tcW w:w="1400" w:type="dxa"/>
            <w:tcBorders>
              <w:top w:val="single" w:color="4BACC6" w:sz="8" w:space="0"/>
              <w:left w:val="single" w:color="4BACC6" w:sz="8" w:space="0"/>
              <w:bottom w:val="single" w:color="4BACC6" w:sz="8" w:space="0"/>
              <w:right w:val="single" w:color="4BACC6" w:sz="8" w:space="0"/>
            </w:tcBorders>
            <w:shd w:val="clear" w:color="auto" w:fill="FFFFFF"/>
            <w:tcMar>
              <w:top w:w="15" w:type="dxa"/>
              <w:left w:w="108" w:type="dxa"/>
              <w:bottom w:w="15" w:type="dxa"/>
              <w:right w:w="108" w:type="dxa"/>
            </w:tcMar>
            <w:vAlign w:val="center"/>
          </w:tcPr>
          <w:p>
            <w:pPr>
              <w:widowControl/>
              <w:jc w:val="left"/>
              <w:textAlignment w:val="center"/>
              <w:rPr>
                <w:rFonts w:ascii="Arial" w:hAnsi="Arial" w:eastAsia="宋体" w:cs="宋体"/>
                <w:sz w:val="20"/>
                <w:szCs w:val="20"/>
              </w:rPr>
            </w:pPr>
            <w:r>
              <w:rPr>
                <w:rFonts w:hint="eastAsia" w:ascii="Arial" w:hAnsi="Arial" w:eastAsia="宋体" w:cs="宋体"/>
                <w:kern w:val="0"/>
                <w:sz w:val="20"/>
                <w:szCs w:val="20"/>
                <w:lang w:bidi="ar"/>
              </w:rPr>
              <w:t>75.65%</w:t>
            </w:r>
          </w:p>
        </w:tc>
        <w:tc>
          <w:tcPr>
            <w:tcW w:w="1400" w:type="dxa"/>
            <w:tcBorders>
              <w:top w:val="single" w:color="4BACC6" w:sz="8" w:space="0"/>
              <w:left w:val="single" w:color="4BACC6" w:sz="8" w:space="0"/>
              <w:bottom w:val="single" w:color="4BACC6" w:sz="8" w:space="0"/>
              <w:right w:val="single" w:color="4BACC6" w:sz="8" w:space="0"/>
            </w:tcBorders>
            <w:shd w:val="clear" w:color="auto" w:fill="FFFFFF"/>
            <w:tcMar>
              <w:top w:w="15" w:type="dxa"/>
              <w:left w:w="108" w:type="dxa"/>
              <w:bottom w:w="15" w:type="dxa"/>
              <w:right w:w="108" w:type="dxa"/>
            </w:tcMar>
            <w:vAlign w:val="center"/>
          </w:tcPr>
          <w:p>
            <w:pPr>
              <w:widowControl/>
              <w:jc w:val="left"/>
              <w:textAlignment w:val="center"/>
              <w:rPr>
                <w:rFonts w:ascii="Arial" w:hAnsi="Arial" w:eastAsia="宋体" w:cs="宋体"/>
                <w:sz w:val="20"/>
                <w:szCs w:val="20"/>
              </w:rPr>
            </w:pPr>
            <w:r>
              <w:rPr>
                <w:rFonts w:hint="eastAsia" w:ascii="Arial" w:hAnsi="Arial" w:eastAsia="宋体" w:cs="宋体"/>
                <w:kern w:val="0"/>
                <w:sz w:val="20"/>
                <w:szCs w:val="20"/>
                <w:lang w:bidi="ar"/>
              </w:rPr>
              <w:t>543</w:t>
            </w:r>
          </w:p>
        </w:tc>
        <w:tc>
          <w:tcPr>
            <w:tcW w:w="1400" w:type="dxa"/>
            <w:tcBorders>
              <w:top w:val="single" w:color="4BACC6" w:sz="8" w:space="0"/>
              <w:left w:val="single" w:color="4BACC6" w:sz="8" w:space="0"/>
              <w:bottom w:val="single" w:color="4BACC6" w:sz="8" w:space="0"/>
              <w:right w:val="single" w:color="4BACC6" w:sz="8" w:space="0"/>
            </w:tcBorders>
            <w:shd w:val="clear" w:color="auto" w:fill="FFFFFF"/>
            <w:tcMar>
              <w:top w:w="15" w:type="dxa"/>
              <w:left w:w="108" w:type="dxa"/>
              <w:bottom w:w="15" w:type="dxa"/>
              <w:right w:w="108" w:type="dxa"/>
            </w:tcMar>
            <w:vAlign w:val="center"/>
          </w:tcPr>
          <w:p>
            <w:pPr>
              <w:widowControl/>
              <w:jc w:val="left"/>
              <w:textAlignment w:val="center"/>
              <w:rPr>
                <w:rFonts w:ascii="Arial" w:hAnsi="Arial" w:eastAsia="宋体" w:cs="宋体"/>
                <w:sz w:val="20"/>
                <w:szCs w:val="20"/>
              </w:rPr>
            </w:pPr>
            <w:r>
              <w:rPr>
                <w:rFonts w:hint="eastAsia" w:ascii="Arial" w:hAnsi="Arial" w:eastAsia="宋体" w:cs="宋体"/>
                <w:kern w:val="0"/>
                <w:sz w:val="20"/>
                <w:szCs w:val="20"/>
                <w:lang w:bidi="ar"/>
              </w:rPr>
              <w:t>78.35%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jc w:val="center"/>
        </w:trPr>
        <w:tc>
          <w:tcPr>
            <w:tcW w:w="2676" w:type="dxa"/>
            <w:tcBorders>
              <w:top w:val="single" w:color="4BACC6" w:sz="8" w:space="0"/>
              <w:left w:val="single" w:color="4BACC6" w:sz="8" w:space="0"/>
              <w:bottom w:val="single" w:color="4BACC6" w:sz="8" w:space="0"/>
              <w:right w:val="single" w:color="4BACC6" w:sz="8" w:space="0"/>
            </w:tcBorders>
            <w:shd w:val="clear" w:color="auto" w:fill="B7DDE8"/>
            <w:tcMar>
              <w:top w:w="15" w:type="dxa"/>
              <w:left w:w="108" w:type="dxa"/>
              <w:bottom w:w="15" w:type="dxa"/>
              <w:right w:w="108" w:type="dxa"/>
            </w:tcMar>
            <w:vAlign w:val="center"/>
          </w:tcPr>
          <w:p>
            <w:pPr>
              <w:widowControl/>
              <w:jc w:val="left"/>
              <w:textAlignment w:val="center"/>
              <w:rPr>
                <w:rFonts w:ascii="Arial" w:hAnsi="Arial" w:eastAsia="宋体" w:cs="宋体"/>
                <w:sz w:val="20"/>
                <w:szCs w:val="20"/>
              </w:rPr>
            </w:pPr>
            <w:r>
              <w:rPr>
                <w:rFonts w:hint="eastAsia" w:ascii="Arial" w:hAnsi="Arial" w:eastAsia="宋体" w:cs="宋体"/>
                <w:kern w:val="0"/>
                <w:sz w:val="20"/>
                <w:szCs w:val="20"/>
                <w:lang w:bidi="ar"/>
              </w:rPr>
              <w:t>家庭困难</w:t>
            </w:r>
          </w:p>
        </w:tc>
        <w:tc>
          <w:tcPr>
            <w:tcW w:w="1400" w:type="dxa"/>
            <w:tcBorders>
              <w:top w:val="single" w:color="4BACC6" w:sz="8" w:space="0"/>
              <w:left w:val="single" w:color="4BACC6" w:sz="8" w:space="0"/>
              <w:bottom w:val="single" w:color="4BACC6" w:sz="8" w:space="0"/>
              <w:right w:val="single" w:color="4BACC6" w:sz="8" w:space="0"/>
            </w:tcBorders>
            <w:shd w:val="clear" w:color="auto" w:fill="B7DDE8"/>
            <w:tcMar>
              <w:top w:w="15" w:type="dxa"/>
              <w:left w:w="108" w:type="dxa"/>
              <w:bottom w:w="15" w:type="dxa"/>
              <w:right w:w="108" w:type="dxa"/>
            </w:tcMar>
            <w:vAlign w:val="center"/>
          </w:tcPr>
          <w:p>
            <w:pPr>
              <w:widowControl/>
              <w:jc w:val="left"/>
              <w:textAlignment w:val="center"/>
              <w:rPr>
                <w:rFonts w:ascii="Arial" w:hAnsi="Arial" w:eastAsia="宋体" w:cs="宋体"/>
                <w:sz w:val="20"/>
                <w:szCs w:val="20"/>
              </w:rPr>
            </w:pPr>
            <w:r>
              <w:rPr>
                <w:rFonts w:hint="eastAsia" w:ascii="Arial" w:hAnsi="Arial" w:eastAsia="宋体" w:cs="宋体"/>
                <w:kern w:val="0"/>
                <w:sz w:val="20"/>
                <w:szCs w:val="20"/>
                <w:lang w:bidi="ar"/>
              </w:rPr>
              <w:t>656</w:t>
            </w:r>
          </w:p>
        </w:tc>
        <w:tc>
          <w:tcPr>
            <w:tcW w:w="1400" w:type="dxa"/>
            <w:tcBorders>
              <w:top w:val="single" w:color="4BACC6" w:sz="8" w:space="0"/>
              <w:left w:val="single" w:color="4BACC6" w:sz="8" w:space="0"/>
              <w:bottom w:val="single" w:color="4BACC6" w:sz="8" w:space="0"/>
              <w:right w:val="single" w:color="4BACC6" w:sz="8" w:space="0"/>
            </w:tcBorders>
            <w:shd w:val="clear" w:color="auto" w:fill="B7DDE8"/>
            <w:tcMar>
              <w:top w:w="15" w:type="dxa"/>
              <w:left w:w="108" w:type="dxa"/>
              <w:bottom w:w="15" w:type="dxa"/>
              <w:right w:w="108" w:type="dxa"/>
            </w:tcMar>
            <w:vAlign w:val="center"/>
          </w:tcPr>
          <w:p>
            <w:pPr>
              <w:widowControl/>
              <w:jc w:val="left"/>
              <w:textAlignment w:val="center"/>
              <w:rPr>
                <w:rFonts w:ascii="Arial" w:hAnsi="Arial" w:eastAsia="宋体" w:cs="宋体"/>
                <w:sz w:val="20"/>
                <w:szCs w:val="20"/>
              </w:rPr>
            </w:pPr>
            <w:r>
              <w:rPr>
                <w:rFonts w:hint="eastAsia" w:ascii="Arial" w:hAnsi="Arial" w:eastAsia="宋体" w:cs="宋体"/>
                <w:kern w:val="0"/>
                <w:sz w:val="20"/>
                <w:szCs w:val="20"/>
                <w:lang w:bidi="ar"/>
              </w:rPr>
              <w:t>21.16%</w:t>
            </w:r>
          </w:p>
        </w:tc>
        <w:tc>
          <w:tcPr>
            <w:tcW w:w="1400" w:type="dxa"/>
            <w:tcBorders>
              <w:top w:val="single" w:color="4BACC6" w:sz="8" w:space="0"/>
              <w:left w:val="single" w:color="4BACC6" w:sz="8" w:space="0"/>
              <w:bottom w:val="single" w:color="4BACC6" w:sz="8" w:space="0"/>
              <w:right w:val="single" w:color="4BACC6" w:sz="8" w:space="0"/>
            </w:tcBorders>
            <w:shd w:val="clear" w:color="auto" w:fill="B7DDE8"/>
            <w:tcMar>
              <w:top w:w="15" w:type="dxa"/>
              <w:left w:w="108" w:type="dxa"/>
              <w:bottom w:w="15" w:type="dxa"/>
              <w:right w:w="108" w:type="dxa"/>
            </w:tcMar>
            <w:vAlign w:val="center"/>
          </w:tcPr>
          <w:p>
            <w:pPr>
              <w:widowControl/>
              <w:jc w:val="left"/>
              <w:textAlignment w:val="center"/>
              <w:rPr>
                <w:rFonts w:ascii="Arial" w:hAnsi="Arial" w:eastAsia="宋体" w:cs="宋体"/>
                <w:sz w:val="20"/>
                <w:szCs w:val="20"/>
              </w:rPr>
            </w:pPr>
            <w:r>
              <w:rPr>
                <w:rFonts w:hint="eastAsia" w:ascii="Arial" w:hAnsi="Arial" w:eastAsia="宋体" w:cs="宋体"/>
                <w:kern w:val="0"/>
                <w:sz w:val="20"/>
                <w:szCs w:val="20"/>
                <w:lang w:bidi="ar"/>
              </w:rPr>
              <w:t>84</w:t>
            </w:r>
          </w:p>
        </w:tc>
        <w:tc>
          <w:tcPr>
            <w:tcW w:w="1400" w:type="dxa"/>
            <w:tcBorders>
              <w:top w:val="single" w:color="4BACC6" w:sz="8" w:space="0"/>
              <w:left w:val="single" w:color="4BACC6" w:sz="8" w:space="0"/>
              <w:bottom w:val="single" w:color="4BACC6" w:sz="8" w:space="0"/>
              <w:right w:val="single" w:color="4BACC6" w:sz="8" w:space="0"/>
            </w:tcBorders>
            <w:shd w:val="clear" w:color="auto" w:fill="B7DDE8"/>
            <w:tcMar>
              <w:top w:w="15" w:type="dxa"/>
              <w:left w:w="108" w:type="dxa"/>
              <w:bottom w:w="15" w:type="dxa"/>
              <w:right w:w="108" w:type="dxa"/>
            </w:tcMar>
            <w:vAlign w:val="center"/>
          </w:tcPr>
          <w:p>
            <w:pPr>
              <w:widowControl/>
              <w:jc w:val="left"/>
              <w:textAlignment w:val="center"/>
              <w:rPr>
                <w:rFonts w:ascii="Arial" w:hAnsi="Arial" w:eastAsia="宋体" w:cs="宋体"/>
                <w:sz w:val="20"/>
                <w:szCs w:val="20"/>
              </w:rPr>
            </w:pPr>
            <w:r>
              <w:rPr>
                <w:rFonts w:hint="eastAsia" w:ascii="Arial" w:hAnsi="Arial" w:eastAsia="宋体" w:cs="宋体"/>
                <w:kern w:val="0"/>
                <w:sz w:val="20"/>
                <w:szCs w:val="20"/>
                <w:lang w:bidi="ar"/>
              </w:rPr>
              <w:t>12.12%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jc w:val="center"/>
        </w:trPr>
        <w:tc>
          <w:tcPr>
            <w:tcW w:w="2676" w:type="dxa"/>
            <w:tcBorders>
              <w:top w:val="single" w:color="4BACC6" w:sz="8" w:space="0"/>
              <w:left w:val="single" w:color="4BACC6" w:sz="8" w:space="0"/>
              <w:bottom w:val="single" w:color="4BACC6" w:sz="8" w:space="0"/>
              <w:right w:val="single" w:color="4BACC6" w:sz="8" w:space="0"/>
            </w:tcBorders>
            <w:shd w:val="clear" w:color="auto" w:fill="FFFFFF"/>
            <w:tcMar>
              <w:top w:w="15" w:type="dxa"/>
              <w:left w:w="108" w:type="dxa"/>
              <w:bottom w:w="15" w:type="dxa"/>
              <w:right w:w="108" w:type="dxa"/>
            </w:tcMar>
            <w:vAlign w:val="center"/>
          </w:tcPr>
          <w:p>
            <w:pPr>
              <w:widowControl/>
              <w:jc w:val="left"/>
              <w:textAlignment w:val="center"/>
              <w:rPr>
                <w:rFonts w:ascii="Arial" w:hAnsi="Arial" w:eastAsia="宋体" w:cs="宋体"/>
                <w:sz w:val="20"/>
                <w:szCs w:val="20"/>
              </w:rPr>
            </w:pPr>
            <w:r>
              <w:rPr>
                <w:rFonts w:hint="eastAsia" w:ascii="Arial" w:hAnsi="Arial" w:eastAsia="宋体" w:cs="宋体"/>
                <w:kern w:val="0"/>
                <w:sz w:val="20"/>
                <w:szCs w:val="20"/>
                <w:lang w:bidi="ar"/>
              </w:rPr>
              <w:t>就业困难</w:t>
            </w:r>
          </w:p>
        </w:tc>
        <w:tc>
          <w:tcPr>
            <w:tcW w:w="1400" w:type="dxa"/>
            <w:tcBorders>
              <w:top w:val="single" w:color="4BACC6" w:sz="8" w:space="0"/>
              <w:left w:val="single" w:color="4BACC6" w:sz="8" w:space="0"/>
              <w:bottom w:val="single" w:color="4BACC6" w:sz="8" w:space="0"/>
              <w:right w:val="single" w:color="4BACC6" w:sz="8" w:space="0"/>
            </w:tcBorders>
            <w:shd w:val="clear" w:color="auto" w:fill="FFFFFF"/>
            <w:tcMar>
              <w:top w:w="15" w:type="dxa"/>
              <w:left w:w="108" w:type="dxa"/>
              <w:bottom w:w="15" w:type="dxa"/>
              <w:right w:w="108" w:type="dxa"/>
            </w:tcMar>
            <w:vAlign w:val="center"/>
          </w:tcPr>
          <w:p>
            <w:pPr>
              <w:widowControl/>
              <w:jc w:val="left"/>
              <w:textAlignment w:val="center"/>
              <w:rPr>
                <w:rFonts w:ascii="Arial" w:hAnsi="Arial" w:eastAsia="宋体" w:cs="宋体"/>
                <w:sz w:val="20"/>
                <w:szCs w:val="20"/>
              </w:rPr>
            </w:pPr>
            <w:r>
              <w:rPr>
                <w:rFonts w:hint="eastAsia" w:ascii="Arial" w:hAnsi="Arial" w:eastAsia="宋体" w:cs="宋体"/>
                <w:kern w:val="0"/>
                <w:sz w:val="20"/>
                <w:szCs w:val="20"/>
                <w:lang w:bidi="ar"/>
              </w:rPr>
              <w:t>71</w:t>
            </w:r>
          </w:p>
        </w:tc>
        <w:tc>
          <w:tcPr>
            <w:tcW w:w="1400" w:type="dxa"/>
            <w:tcBorders>
              <w:top w:val="single" w:color="4BACC6" w:sz="8" w:space="0"/>
              <w:left w:val="single" w:color="4BACC6" w:sz="8" w:space="0"/>
              <w:bottom w:val="single" w:color="4BACC6" w:sz="8" w:space="0"/>
              <w:right w:val="single" w:color="4BACC6" w:sz="8" w:space="0"/>
            </w:tcBorders>
            <w:shd w:val="clear" w:color="auto" w:fill="FFFFFF"/>
            <w:tcMar>
              <w:top w:w="15" w:type="dxa"/>
              <w:left w:w="108" w:type="dxa"/>
              <w:bottom w:w="15" w:type="dxa"/>
              <w:right w:w="108" w:type="dxa"/>
            </w:tcMar>
            <w:vAlign w:val="center"/>
          </w:tcPr>
          <w:p>
            <w:pPr>
              <w:widowControl/>
              <w:jc w:val="left"/>
              <w:textAlignment w:val="center"/>
              <w:rPr>
                <w:rFonts w:ascii="Arial" w:hAnsi="Arial" w:eastAsia="宋体" w:cs="宋体"/>
                <w:sz w:val="20"/>
                <w:szCs w:val="20"/>
              </w:rPr>
            </w:pPr>
            <w:r>
              <w:rPr>
                <w:rFonts w:hint="eastAsia" w:ascii="Arial" w:hAnsi="Arial" w:eastAsia="宋体" w:cs="宋体"/>
                <w:kern w:val="0"/>
                <w:sz w:val="20"/>
                <w:szCs w:val="20"/>
                <w:lang w:bidi="ar"/>
              </w:rPr>
              <w:t>2.29%</w:t>
            </w:r>
          </w:p>
        </w:tc>
        <w:tc>
          <w:tcPr>
            <w:tcW w:w="1400" w:type="dxa"/>
            <w:tcBorders>
              <w:top w:val="single" w:color="4BACC6" w:sz="8" w:space="0"/>
              <w:left w:val="single" w:color="4BACC6" w:sz="8" w:space="0"/>
              <w:bottom w:val="single" w:color="4BACC6" w:sz="8" w:space="0"/>
              <w:right w:val="single" w:color="4BACC6" w:sz="8" w:space="0"/>
            </w:tcBorders>
            <w:shd w:val="clear" w:color="auto" w:fill="FFFFFF"/>
            <w:tcMar>
              <w:top w:w="15" w:type="dxa"/>
              <w:left w:w="108" w:type="dxa"/>
              <w:bottom w:w="15" w:type="dxa"/>
              <w:right w:w="108" w:type="dxa"/>
            </w:tcMar>
            <w:vAlign w:val="center"/>
          </w:tcPr>
          <w:p>
            <w:pPr>
              <w:widowControl/>
              <w:jc w:val="left"/>
              <w:textAlignment w:val="center"/>
              <w:rPr>
                <w:rFonts w:ascii="Arial" w:hAnsi="Arial" w:eastAsia="宋体" w:cs="宋体"/>
                <w:sz w:val="20"/>
                <w:szCs w:val="20"/>
              </w:rPr>
            </w:pPr>
            <w:r>
              <w:rPr>
                <w:rFonts w:hint="eastAsia" w:ascii="Arial" w:hAnsi="Arial" w:eastAsia="宋体" w:cs="宋体"/>
                <w:kern w:val="0"/>
                <w:sz w:val="20"/>
                <w:szCs w:val="20"/>
                <w:lang w:bidi="ar"/>
              </w:rPr>
              <w:t>38</w:t>
            </w:r>
          </w:p>
        </w:tc>
        <w:tc>
          <w:tcPr>
            <w:tcW w:w="1400" w:type="dxa"/>
            <w:tcBorders>
              <w:top w:val="single" w:color="4BACC6" w:sz="8" w:space="0"/>
              <w:left w:val="single" w:color="4BACC6" w:sz="8" w:space="0"/>
              <w:bottom w:val="single" w:color="4BACC6" w:sz="8" w:space="0"/>
              <w:right w:val="single" w:color="4BACC6" w:sz="8" w:space="0"/>
            </w:tcBorders>
            <w:shd w:val="clear" w:color="auto" w:fill="FFFFFF"/>
            <w:tcMar>
              <w:top w:w="15" w:type="dxa"/>
              <w:left w:w="108" w:type="dxa"/>
              <w:bottom w:w="15" w:type="dxa"/>
              <w:right w:w="108" w:type="dxa"/>
            </w:tcMar>
            <w:vAlign w:val="center"/>
          </w:tcPr>
          <w:p>
            <w:pPr>
              <w:widowControl/>
              <w:jc w:val="left"/>
              <w:textAlignment w:val="center"/>
              <w:rPr>
                <w:rFonts w:ascii="Arial" w:hAnsi="Arial" w:eastAsia="宋体" w:cs="宋体"/>
                <w:sz w:val="20"/>
                <w:szCs w:val="20"/>
              </w:rPr>
            </w:pPr>
            <w:r>
              <w:rPr>
                <w:rFonts w:hint="eastAsia" w:ascii="Arial" w:hAnsi="Arial" w:eastAsia="宋体" w:cs="宋体"/>
                <w:kern w:val="0"/>
                <w:sz w:val="20"/>
                <w:szCs w:val="20"/>
                <w:lang w:bidi="ar"/>
              </w:rPr>
              <w:t>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jc w:val="center"/>
        </w:trPr>
        <w:tc>
          <w:tcPr>
            <w:tcW w:w="2676" w:type="dxa"/>
            <w:tcBorders>
              <w:top w:val="single" w:color="4BACC6" w:sz="8" w:space="0"/>
              <w:left w:val="single" w:color="4BACC6" w:sz="8" w:space="0"/>
              <w:bottom w:val="single" w:color="4BACC6" w:sz="8" w:space="0"/>
              <w:right w:val="single" w:color="4BACC6" w:sz="8" w:space="0"/>
            </w:tcBorders>
            <w:shd w:val="clear" w:color="auto" w:fill="B7DDE8"/>
            <w:tcMar>
              <w:top w:w="15" w:type="dxa"/>
              <w:left w:w="108" w:type="dxa"/>
              <w:bottom w:w="15" w:type="dxa"/>
              <w:right w:w="108" w:type="dxa"/>
            </w:tcMar>
            <w:vAlign w:val="center"/>
          </w:tcPr>
          <w:p>
            <w:pPr>
              <w:widowControl/>
              <w:jc w:val="left"/>
              <w:textAlignment w:val="center"/>
              <w:rPr>
                <w:rFonts w:ascii="Arial" w:hAnsi="Arial" w:eastAsia="宋体" w:cs="宋体"/>
                <w:sz w:val="20"/>
                <w:szCs w:val="20"/>
              </w:rPr>
            </w:pPr>
            <w:r>
              <w:rPr>
                <w:rFonts w:hint="eastAsia" w:ascii="Arial" w:hAnsi="Arial" w:eastAsia="宋体" w:cs="宋体"/>
                <w:kern w:val="0"/>
                <w:sz w:val="20"/>
                <w:szCs w:val="20"/>
                <w:lang w:bidi="ar"/>
              </w:rPr>
              <w:t>就业困难、家庭困难和残疾</w:t>
            </w:r>
          </w:p>
        </w:tc>
        <w:tc>
          <w:tcPr>
            <w:tcW w:w="1400" w:type="dxa"/>
            <w:tcBorders>
              <w:top w:val="single" w:color="4BACC6" w:sz="8" w:space="0"/>
              <w:left w:val="single" w:color="4BACC6" w:sz="8" w:space="0"/>
              <w:bottom w:val="single" w:color="4BACC6" w:sz="8" w:space="0"/>
              <w:right w:val="single" w:color="4BACC6" w:sz="8" w:space="0"/>
            </w:tcBorders>
            <w:shd w:val="clear" w:color="auto" w:fill="B7DDE8"/>
            <w:tcMar>
              <w:top w:w="15" w:type="dxa"/>
              <w:left w:w="108" w:type="dxa"/>
              <w:bottom w:w="15" w:type="dxa"/>
              <w:right w:w="108" w:type="dxa"/>
            </w:tcMar>
            <w:vAlign w:val="center"/>
          </w:tcPr>
          <w:p>
            <w:pPr>
              <w:rPr>
                <w:rFonts w:ascii="Arial" w:hAnsi="Arial" w:eastAsia="宋体" w:cs="宋体"/>
                <w:sz w:val="20"/>
                <w:szCs w:val="20"/>
              </w:rPr>
            </w:pPr>
            <w:r>
              <w:rPr>
                <w:rFonts w:hint="eastAsia" w:ascii="Arial" w:hAnsi="Arial" w:eastAsia="宋体" w:cs="宋体"/>
                <w:sz w:val="20"/>
                <w:szCs w:val="20"/>
              </w:rPr>
              <w:t>0</w:t>
            </w:r>
          </w:p>
        </w:tc>
        <w:tc>
          <w:tcPr>
            <w:tcW w:w="1400" w:type="dxa"/>
            <w:tcBorders>
              <w:top w:val="single" w:color="4BACC6" w:sz="8" w:space="0"/>
              <w:left w:val="single" w:color="4BACC6" w:sz="8" w:space="0"/>
              <w:bottom w:val="single" w:color="4BACC6" w:sz="8" w:space="0"/>
              <w:right w:val="single" w:color="4BACC6" w:sz="8" w:space="0"/>
            </w:tcBorders>
            <w:shd w:val="clear" w:color="auto" w:fill="B7DDE8"/>
            <w:tcMar>
              <w:top w:w="15" w:type="dxa"/>
              <w:left w:w="108" w:type="dxa"/>
              <w:bottom w:w="15" w:type="dxa"/>
              <w:right w:w="108" w:type="dxa"/>
            </w:tcMar>
            <w:vAlign w:val="center"/>
          </w:tcPr>
          <w:p>
            <w:pPr>
              <w:widowControl/>
              <w:jc w:val="left"/>
              <w:textAlignment w:val="center"/>
              <w:rPr>
                <w:rFonts w:ascii="Arial" w:hAnsi="Arial" w:eastAsia="宋体" w:cs="宋体"/>
                <w:sz w:val="20"/>
                <w:szCs w:val="20"/>
              </w:rPr>
            </w:pPr>
            <w:r>
              <w:rPr>
                <w:rFonts w:hint="eastAsia" w:ascii="Arial" w:hAnsi="Arial" w:eastAsia="宋体" w:cs="宋体"/>
                <w:kern w:val="0"/>
                <w:sz w:val="20"/>
                <w:szCs w:val="20"/>
                <w:lang w:bidi="ar"/>
              </w:rPr>
              <w:t>0.00%</w:t>
            </w:r>
          </w:p>
        </w:tc>
        <w:tc>
          <w:tcPr>
            <w:tcW w:w="1400" w:type="dxa"/>
            <w:tcBorders>
              <w:top w:val="single" w:color="4BACC6" w:sz="8" w:space="0"/>
              <w:left w:val="single" w:color="4BACC6" w:sz="8" w:space="0"/>
              <w:bottom w:val="single" w:color="4BACC6" w:sz="8" w:space="0"/>
              <w:right w:val="single" w:color="4BACC6" w:sz="8" w:space="0"/>
            </w:tcBorders>
            <w:shd w:val="clear" w:color="auto" w:fill="B7DDE8"/>
            <w:tcMar>
              <w:top w:w="15" w:type="dxa"/>
              <w:left w:w="108" w:type="dxa"/>
              <w:bottom w:w="15" w:type="dxa"/>
              <w:right w:w="108" w:type="dxa"/>
            </w:tcMar>
            <w:vAlign w:val="center"/>
          </w:tcPr>
          <w:p>
            <w:pPr>
              <w:widowControl/>
              <w:jc w:val="left"/>
              <w:textAlignment w:val="center"/>
              <w:rPr>
                <w:rFonts w:ascii="Arial" w:hAnsi="Arial" w:eastAsia="宋体" w:cs="宋体"/>
                <w:sz w:val="20"/>
                <w:szCs w:val="20"/>
              </w:rPr>
            </w:pPr>
            <w:r>
              <w:rPr>
                <w:rFonts w:hint="eastAsia" w:ascii="Arial" w:hAnsi="Arial" w:eastAsia="宋体" w:cs="宋体"/>
                <w:kern w:val="0"/>
                <w:sz w:val="20"/>
                <w:szCs w:val="20"/>
                <w:lang w:bidi="ar"/>
              </w:rPr>
              <w:t>4</w:t>
            </w:r>
          </w:p>
        </w:tc>
        <w:tc>
          <w:tcPr>
            <w:tcW w:w="1400" w:type="dxa"/>
            <w:tcBorders>
              <w:top w:val="single" w:color="4BACC6" w:sz="8" w:space="0"/>
              <w:left w:val="single" w:color="4BACC6" w:sz="8" w:space="0"/>
              <w:bottom w:val="single" w:color="4BACC6" w:sz="8" w:space="0"/>
              <w:right w:val="single" w:color="4BACC6" w:sz="8" w:space="0"/>
            </w:tcBorders>
            <w:shd w:val="clear" w:color="auto" w:fill="B7DDE8"/>
            <w:tcMar>
              <w:top w:w="15" w:type="dxa"/>
              <w:left w:w="108" w:type="dxa"/>
              <w:bottom w:w="15" w:type="dxa"/>
              <w:right w:w="108" w:type="dxa"/>
            </w:tcMar>
            <w:vAlign w:val="center"/>
          </w:tcPr>
          <w:p>
            <w:pPr>
              <w:widowControl/>
              <w:jc w:val="left"/>
              <w:textAlignment w:val="center"/>
              <w:rPr>
                <w:rFonts w:ascii="Arial" w:hAnsi="Arial" w:eastAsia="宋体" w:cs="宋体"/>
                <w:sz w:val="20"/>
                <w:szCs w:val="20"/>
              </w:rPr>
            </w:pPr>
            <w:r>
              <w:rPr>
                <w:rFonts w:hint="eastAsia" w:ascii="Arial" w:hAnsi="Arial" w:eastAsia="宋体" w:cs="宋体"/>
                <w:kern w:val="0"/>
                <w:sz w:val="20"/>
                <w:szCs w:val="20"/>
                <w:lang w:bidi="ar"/>
              </w:rPr>
              <w:t>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jc w:val="center"/>
        </w:trPr>
        <w:tc>
          <w:tcPr>
            <w:tcW w:w="2676" w:type="dxa"/>
            <w:tcBorders>
              <w:top w:val="single" w:color="4BACC6" w:sz="8" w:space="0"/>
              <w:left w:val="single" w:color="4BACC6" w:sz="8" w:space="0"/>
              <w:bottom w:val="single" w:color="4BACC6" w:sz="8" w:space="0"/>
              <w:right w:val="single" w:color="4BACC6" w:sz="8" w:space="0"/>
            </w:tcBorders>
            <w:shd w:val="clear" w:color="auto" w:fill="FFFFFF"/>
            <w:tcMar>
              <w:top w:w="15" w:type="dxa"/>
              <w:left w:w="108" w:type="dxa"/>
              <w:bottom w:w="15" w:type="dxa"/>
              <w:right w:w="108" w:type="dxa"/>
            </w:tcMar>
            <w:vAlign w:val="center"/>
          </w:tcPr>
          <w:p>
            <w:pPr>
              <w:widowControl/>
              <w:jc w:val="left"/>
              <w:textAlignment w:val="center"/>
              <w:rPr>
                <w:rFonts w:ascii="Arial" w:hAnsi="Arial" w:eastAsia="宋体" w:cs="宋体"/>
                <w:sz w:val="20"/>
                <w:szCs w:val="20"/>
              </w:rPr>
            </w:pPr>
            <w:r>
              <w:rPr>
                <w:rFonts w:hint="eastAsia" w:ascii="Arial" w:hAnsi="Arial" w:eastAsia="宋体" w:cs="宋体"/>
                <w:kern w:val="0"/>
                <w:sz w:val="20"/>
                <w:szCs w:val="20"/>
                <w:lang w:bidi="ar"/>
              </w:rPr>
              <w:t>就业困难和家庭困难</w:t>
            </w:r>
          </w:p>
        </w:tc>
        <w:tc>
          <w:tcPr>
            <w:tcW w:w="1400" w:type="dxa"/>
            <w:tcBorders>
              <w:top w:val="single" w:color="4BACC6" w:sz="8" w:space="0"/>
              <w:left w:val="single" w:color="4BACC6" w:sz="8" w:space="0"/>
              <w:bottom w:val="single" w:color="4BACC6" w:sz="8" w:space="0"/>
              <w:right w:val="single" w:color="4BACC6" w:sz="8" w:space="0"/>
            </w:tcBorders>
            <w:shd w:val="clear" w:color="auto" w:fill="FFFFFF"/>
            <w:tcMar>
              <w:top w:w="15" w:type="dxa"/>
              <w:left w:w="108" w:type="dxa"/>
              <w:bottom w:w="15" w:type="dxa"/>
              <w:right w:w="108" w:type="dxa"/>
            </w:tcMar>
            <w:vAlign w:val="center"/>
          </w:tcPr>
          <w:p>
            <w:pPr>
              <w:widowControl/>
              <w:jc w:val="left"/>
              <w:textAlignment w:val="center"/>
              <w:rPr>
                <w:rFonts w:ascii="Arial" w:hAnsi="Arial" w:eastAsia="宋体" w:cs="宋体"/>
                <w:sz w:val="20"/>
                <w:szCs w:val="20"/>
              </w:rPr>
            </w:pPr>
            <w:r>
              <w:rPr>
                <w:rFonts w:hint="eastAsia" w:ascii="Arial" w:hAnsi="Arial" w:eastAsia="宋体" w:cs="宋体"/>
                <w:kern w:val="0"/>
                <w:sz w:val="20"/>
                <w:szCs w:val="20"/>
                <w:lang w:bidi="ar"/>
              </w:rPr>
              <w:t>28</w:t>
            </w:r>
          </w:p>
        </w:tc>
        <w:tc>
          <w:tcPr>
            <w:tcW w:w="1400" w:type="dxa"/>
            <w:tcBorders>
              <w:top w:val="single" w:color="4BACC6" w:sz="8" w:space="0"/>
              <w:left w:val="single" w:color="4BACC6" w:sz="8" w:space="0"/>
              <w:bottom w:val="single" w:color="4BACC6" w:sz="8" w:space="0"/>
              <w:right w:val="single" w:color="4BACC6" w:sz="8" w:space="0"/>
            </w:tcBorders>
            <w:shd w:val="clear" w:color="auto" w:fill="FFFFFF"/>
            <w:tcMar>
              <w:top w:w="15" w:type="dxa"/>
              <w:left w:w="108" w:type="dxa"/>
              <w:bottom w:w="15" w:type="dxa"/>
              <w:right w:w="108" w:type="dxa"/>
            </w:tcMar>
            <w:vAlign w:val="center"/>
          </w:tcPr>
          <w:p>
            <w:pPr>
              <w:widowControl/>
              <w:jc w:val="left"/>
              <w:textAlignment w:val="center"/>
              <w:rPr>
                <w:rFonts w:ascii="Arial" w:hAnsi="Arial" w:eastAsia="宋体" w:cs="宋体"/>
                <w:sz w:val="20"/>
                <w:szCs w:val="20"/>
              </w:rPr>
            </w:pPr>
            <w:r>
              <w:rPr>
                <w:rFonts w:hint="eastAsia" w:ascii="Arial" w:hAnsi="Arial" w:eastAsia="宋体" w:cs="宋体"/>
                <w:kern w:val="0"/>
                <w:sz w:val="20"/>
                <w:szCs w:val="20"/>
                <w:lang w:bidi="ar"/>
              </w:rPr>
              <w:t>0.90%</w:t>
            </w:r>
          </w:p>
        </w:tc>
        <w:tc>
          <w:tcPr>
            <w:tcW w:w="1400" w:type="dxa"/>
            <w:tcBorders>
              <w:top w:val="single" w:color="4BACC6" w:sz="8" w:space="0"/>
              <w:left w:val="single" w:color="4BACC6" w:sz="8" w:space="0"/>
              <w:bottom w:val="single" w:color="4BACC6" w:sz="8" w:space="0"/>
              <w:right w:val="single" w:color="4BACC6" w:sz="8" w:space="0"/>
            </w:tcBorders>
            <w:shd w:val="clear" w:color="auto" w:fill="FFFFFF"/>
            <w:tcMar>
              <w:top w:w="15" w:type="dxa"/>
              <w:left w:w="108" w:type="dxa"/>
              <w:bottom w:w="15" w:type="dxa"/>
              <w:right w:w="108" w:type="dxa"/>
            </w:tcMar>
            <w:vAlign w:val="center"/>
          </w:tcPr>
          <w:p>
            <w:pPr>
              <w:widowControl/>
              <w:jc w:val="left"/>
              <w:textAlignment w:val="center"/>
              <w:rPr>
                <w:rFonts w:ascii="Arial" w:hAnsi="Arial" w:eastAsia="宋体" w:cs="宋体"/>
                <w:sz w:val="20"/>
                <w:szCs w:val="20"/>
              </w:rPr>
            </w:pPr>
            <w:r>
              <w:rPr>
                <w:rFonts w:hint="eastAsia" w:ascii="Arial" w:hAnsi="Arial" w:eastAsia="宋体" w:cs="宋体"/>
                <w:kern w:val="0"/>
                <w:sz w:val="20"/>
                <w:szCs w:val="20"/>
                <w:lang w:bidi="ar"/>
              </w:rPr>
              <w:t>24</w:t>
            </w:r>
          </w:p>
        </w:tc>
        <w:tc>
          <w:tcPr>
            <w:tcW w:w="1400" w:type="dxa"/>
            <w:tcBorders>
              <w:top w:val="single" w:color="4BACC6" w:sz="8" w:space="0"/>
              <w:left w:val="single" w:color="4BACC6" w:sz="8" w:space="0"/>
              <w:bottom w:val="single" w:color="4BACC6" w:sz="8" w:space="0"/>
              <w:right w:val="single" w:color="4BACC6" w:sz="8" w:space="0"/>
            </w:tcBorders>
            <w:shd w:val="clear" w:color="auto" w:fill="FFFFFF"/>
            <w:tcMar>
              <w:top w:w="15" w:type="dxa"/>
              <w:left w:w="108" w:type="dxa"/>
              <w:bottom w:w="15" w:type="dxa"/>
              <w:right w:w="108" w:type="dxa"/>
            </w:tcMar>
            <w:vAlign w:val="center"/>
          </w:tcPr>
          <w:p>
            <w:pPr>
              <w:widowControl/>
              <w:jc w:val="left"/>
              <w:textAlignment w:val="center"/>
              <w:rPr>
                <w:rFonts w:ascii="Arial" w:hAnsi="Arial" w:eastAsia="宋体" w:cs="宋体"/>
                <w:sz w:val="20"/>
                <w:szCs w:val="20"/>
              </w:rPr>
            </w:pPr>
            <w:r>
              <w:rPr>
                <w:rFonts w:hint="eastAsia" w:ascii="Arial" w:hAnsi="Arial" w:eastAsia="宋体" w:cs="宋体"/>
                <w:kern w:val="0"/>
                <w:sz w:val="20"/>
                <w:szCs w:val="20"/>
                <w:lang w:bidi="ar"/>
              </w:rPr>
              <w:t>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jc w:val="center"/>
        </w:trPr>
        <w:tc>
          <w:tcPr>
            <w:tcW w:w="2676" w:type="dxa"/>
            <w:tcBorders>
              <w:top w:val="single" w:color="4BACC6" w:sz="8" w:space="0"/>
              <w:left w:val="single" w:color="4BACC6" w:sz="8" w:space="0"/>
              <w:bottom w:val="single" w:color="4BACC6" w:sz="8" w:space="0"/>
              <w:right w:val="single" w:color="4BACC6" w:sz="8" w:space="0"/>
            </w:tcBorders>
            <w:shd w:val="clear" w:color="auto" w:fill="B7DDE8"/>
            <w:tcMar>
              <w:top w:w="15" w:type="dxa"/>
              <w:left w:w="108" w:type="dxa"/>
              <w:bottom w:w="15" w:type="dxa"/>
              <w:right w:w="108" w:type="dxa"/>
            </w:tcMar>
            <w:vAlign w:val="center"/>
          </w:tcPr>
          <w:p>
            <w:pPr>
              <w:widowControl/>
              <w:jc w:val="left"/>
              <w:textAlignment w:val="center"/>
              <w:rPr>
                <w:rFonts w:ascii="Arial" w:hAnsi="Arial" w:eastAsia="宋体" w:cs="宋体"/>
                <w:b/>
                <w:sz w:val="20"/>
                <w:szCs w:val="20"/>
              </w:rPr>
            </w:pPr>
            <w:r>
              <w:rPr>
                <w:rFonts w:hint="eastAsia" w:ascii="Arial" w:hAnsi="Arial" w:eastAsia="宋体" w:cs="宋体"/>
                <w:b/>
                <w:kern w:val="0"/>
                <w:sz w:val="20"/>
                <w:szCs w:val="20"/>
                <w:lang w:bidi="ar"/>
              </w:rPr>
              <w:t>总计</w:t>
            </w:r>
          </w:p>
        </w:tc>
        <w:tc>
          <w:tcPr>
            <w:tcW w:w="1400" w:type="dxa"/>
            <w:tcBorders>
              <w:top w:val="single" w:color="4BACC6" w:sz="8" w:space="0"/>
              <w:left w:val="single" w:color="4BACC6" w:sz="8" w:space="0"/>
              <w:bottom w:val="single" w:color="4BACC6" w:sz="8" w:space="0"/>
              <w:right w:val="single" w:color="4BACC6" w:sz="8" w:space="0"/>
            </w:tcBorders>
            <w:shd w:val="clear" w:color="auto" w:fill="B7DDE8"/>
            <w:tcMar>
              <w:top w:w="15" w:type="dxa"/>
              <w:left w:w="108" w:type="dxa"/>
              <w:bottom w:w="15" w:type="dxa"/>
              <w:right w:w="108" w:type="dxa"/>
            </w:tcMar>
            <w:vAlign w:val="center"/>
          </w:tcPr>
          <w:p>
            <w:pPr>
              <w:widowControl/>
              <w:jc w:val="left"/>
              <w:textAlignment w:val="center"/>
              <w:rPr>
                <w:rFonts w:ascii="Arial" w:hAnsi="Arial" w:eastAsia="宋体" w:cs="宋体"/>
                <w:b/>
                <w:sz w:val="20"/>
                <w:szCs w:val="20"/>
              </w:rPr>
            </w:pPr>
            <w:r>
              <w:rPr>
                <w:rFonts w:hint="eastAsia" w:ascii="Arial" w:hAnsi="Arial" w:eastAsia="宋体" w:cs="宋体"/>
                <w:b/>
                <w:kern w:val="0"/>
                <w:sz w:val="20"/>
                <w:szCs w:val="20"/>
                <w:lang w:bidi="ar"/>
              </w:rPr>
              <w:t>3100</w:t>
            </w:r>
          </w:p>
        </w:tc>
        <w:tc>
          <w:tcPr>
            <w:tcW w:w="1400" w:type="dxa"/>
            <w:tcBorders>
              <w:top w:val="single" w:color="4BACC6" w:sz="8" w:space="0"/>
              <w:left w:val="single" w:color="4BACC6" w:sz="8" w:space="0"/>
              <w:bottom w:val="single" w:color="4BACC6" w:sz="8" w:space="0"/>
              <w:right w:val="single" w:color="4BACC6" w:sz="8" w:space="0"/>
            </w:tcBorders>
            <w:shd w:val="clear" w:color="auto" w:fill="B7DDE8"/>
            <w:tcMar>
              <w:top w:w="15" w:type="dxa"/>
              <w:left w:w="108" w:type="dxa"/>
              <w:bottom w:w="15" w:type="dxa"/>
              <w:right w:w="108" w:type="dxa"/>
            </w:tcMar>
            <w:vAlign w:val="center"/>
          </w:tcPr>
          <w:p>
            <w:pPr>
              <w:widowControl/>
              <w:jc w:val="left"/>
              <w:textAlignment w:val="center"/>
              <w:rPr>
                <w:rFonts w:ascii="Arial" w:hAnsi="Arial" w:eastAsia="宋体" w:cs="宋体"/>
                <w:b/>
                <w:sz w:val="20"/>
                <w:szCs w:val="20"/>
              </w:rPr>
            </w:pPr>
          </w:p>
        </w:tc>
        <w:tc>
          <w:tcPr>
            <w:tcW w:w="1400" w:type="dxa"/>
            <w:tcBorders>
              <w:top w:val="single" w:color="4BACC6" w:sz="8" w:space="0"/>
              <w:left w:val="single" w:color="4BACC6" w:sz="8" w:space="0"/>
              <w:bottom w:val="single" w:color="4BACC6" w:sz="8" w:space="0"/>
              <w:right w:val="single" w:color="4BACC6" w:sz="8" w:space="0"/>
            </w:tcBorders>
            <w:shd w:val="clear" w:color="auto" w:fill="B7DDE8"/>
            <w:tcMar>
              <w:top w:w="15" w:type="dxa"/>
              <w:left w:w="108" w:type="dxa"/>
              <w:bottom w:w="15" w:type="dxa"/>
              <w:right w:w="108" w:type="dxa"/>
            </w:tcMar>
            <w:vAlign w:val="center"/>
          </w:tcPr>
          <w:p>
            <w:pPr>
              <w:widowControl/>
              <w:jc w:val="left"/>
              <w:textAlignment w:val="center"/>
              <w:rPr>
                <w:rFonts w:ascii="Arial" w:hAnsi="Arial" w:eastAsia="宋体" w:cs="宋体"/>
                <w:b/>
                <w:sz w:val="20"/>
                <w:szCs w:val="20"/>
              </w:rPr>
            </w:pPr>
            <w:r>
              <w:rPr>
                <w:rFonts w:hint="eastAsia" w:ascii="Arial" w:hAnsi="Arial" w:eastAsia="宋体" w:cs="宋体"/>
                <w:b/>
                <w:kern w:val="0"/>
                <w:sz w:val="20"/>
                <w:szCs w:val="20"/>
                <w:lang w:bidi="ar"/>
              </w:rPr>
              <w:t>693</w:t>
            </w:r>
          </w:p>
        </w:tc>
        <w:tc>
          <w:tcPr>
            <w:tcW w:w="1400" w:type="dxa"/>
            <w:tcBorders>
              <w:top w:val="single" w:color="4BACC6" w:sz="8" w:space="0"/>
              <w:left w:val="single" w:color="4BACC6" w:sz="8" w:space="0"/>
              <w:bottom w:val="single" w:color="4BACC6" w:sz="8" w:space="0"/>
              <w:right w:val="single" w:color="4BACC6" w:sz="8" w:space="0"/>
            </w:tcBorders>
            <w:shd w:val="clear" w:color="auto" w:fill="B7DDE8"/>
            <w:tcMar>
              <w:top w:w="15" w:type="dxa"/>
              <w:left w:w="108" w:type="dxa"/>
              <w:bottom w:w="15" w:type="dxa"/>
              <w:right w:w="108" w:type="dxa"/>
            </w:tcMar>
            <w:vAlign w:val="center"/>
          </w:tcPr>
          <w:p>
            <w:pPr>
              <w:widowControl/>
              <w:jc w:val="left"/>
              <w:textAlignment w:val="center"/>
              <w:rPr>
                <w:rFonts w:ascii="Arial" w:hAnsi="Arial" w:eastAsia="宋体" w:cs="宋体"/>
                <w:b/>
                <w:sz w:val="20"/>
                <w:szCs w:val="20"/>
              </w:rPr>
            </w:pPr>
          </w:p>
        </w:tc>
      </w:tr>
    </w:tbl>
    <w:p>
      <w:pPr>
        <w:spacing w:before="156" w:beforeLines="50" w:after="156" w:afterLines="50" w:line="312" w:lineRule="auto"/>
        <w:ind w:firstLine="420" w:firstLineChars="200"/>
        <w:rPr>
          <w:rFonts w:ascii="Times New Roman" w:hAnsi="Times New Roman"/>
          <w:szCs w:val="18"/>
        </w:rPr>
      </w:pPr>
      <w:r>
        <w:rPr>
          <w:rFonts w:hint="eastAsia" w:ascii="Times New Roman" w:hAnsi="Times New Roman"/>
          <w:szCs w:val="18"/>
        </w:rPr>
        <w:t>注：由于四舍五入的原因，数据占比之和可能会出现不等于100%的情况。</w:t>
      </w:r>
    </w:p>
    <w:p>
      <w:pPr>
        <w:pStyle w:val="33"/>
        <w:tabs>
          <w:tab w:val="left" w:pos="312"/>
        </w:tabs>
        <w:spacing w:before="100" w:after="100" w:afterLines="0" w:line="360" w:lineRule="auto"/>
        <w:ind w:left="482" w:firstLine="0" w:firstLineChars="0"/>
        <w:outlineLvl w:val="2"/>
        <w:rPr>
          <w:rFonts w:ascii="Times New Roman" w:hAnsi="Times New Roman" w:eastAsia="宋体"/>
          <w:b w:val="0"/>
          <w:bCs w:val="0"/>
          <w:sz w:val="24"/>
          <w:szCs w:val="24"/>
        </w:rPr>
      </w:pPr>
      <w:bookmarkStart w:id="59" w:name="_Toc31135"/>
      <w:bookmarkStart w:id="60" w:name="_Toc501407176"/>
      <w:bookmarkStart w:id="61" w:name="_Toc5196"/>
      <w:bookmarkStart w:id="62" w:name="_Toc501407784"/>
      <w:r>
        <w:rPr>
          <w:rFonts w:hint="eastAsia" w:ascii="Times New Roman" w:hAnsi="Times New Roman" w:eastAsia="宋体"/>
          <w:b w:val="0"/>
          <w:bCs w:val="0"/>
          <w:sz w:val="24"/>
          <w:szCs w:val="24"/>
        </w:rPr>
        <w:t>4.3  2017届毕业生民族分布情况</w:t>
      </w:r>
      <w:bookmarkEnd w:id="59"/>
      <w:bookmarkEnd w:id="60"/>
      <w:bookmarkEnd w:id="61"/>
      <w:bookmarkEnd w:id="62"/>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从民族分布来看，学校2017届本科毕业生汉族</w:t>
      </w:r>
      <w:r>
        <w:rPr>
          <w:rFonts w:ascii="Times New Roman" w:hAnsi="Times New Roman" w:eastAsia="宋体" w:cs="Times New Roman"/>
          <w:sz w:val="24"/>
          <w:szCs w:val="24"/>
        </w:rPr>
        <w:t>2</w:t>
      </w:r>
      <w:r>
        <w:rPr>
          <w:rFonts w:hint="eastAsia" w:ascii="Times New Roman" w:hAnsi="Times New Roman" w:eastAsia="宋体" w:cs="Times New Roman"/>
          <w:sz w:val="24"/>
          <w:szCs w:val="24"/>
        </w:rPr>
        <w:t>889</w:t>
      </w:r>
      <w:r>
        <w:rPr>
          <w:rFonts w:ascii="Times New Roman" w:hAnsi="Times New Roman" w:eastAsia="宋体" w:cs="Times New Roman"/>
          <w:sz w:val="24"/>
          <w:szCs w:val="24"/>
        </w:rPr>
        <w:t>人，少数民</w:t>
      </w:r>
      <w:r>
        <w:rPr>
          <w:rFonts w:hint="eastAsia" w:ascii="Times New Roman" w:hAnsi="Times New Roman" w:eastAsia="宋体" w:cs="Times New Roman"/>
          <w:sz w:val="24"/>
          <w:szCs w:val="24"/>
        </w:rPr>
        <w:t>族211</w:t>
      </w:r>
      <w:r>
        <w:rPr>
          <w:rFonts w:ascii="Times New Roman" w:hAnsi="Times New Roman" w:eastAsia="宋体" w:cs="Times New Roman"/>
          <w:sz w:val="24"/>
          <w:szCs w:val="24"/>
        </w:rPr>
        <w:t>人</w:t>
      </w:r>
      <w:r>
        <w:rPr>
          <w:rFonts w:hint="eastAsia" w:ascii="Times New Roman" w:hAnsi="Times New Roman" w:eastAsia="宋体" w:cs="Times New Roman"/>
          <w:sz w:val="24"/>
          <w:szCs w:val="24"/>
        </w:rPr>
        <w:t>。专科毕业生汉族640</w:t>
      </w:r>
      <w:r>
        <w:rPr>
          <w:rFonts w:ascii="Times New Roman" w:hAnsi="Times New Roman" w:eastAsia="宋体" w:cs="Times New Roman"/>
          <w:sz w:val="24"/>
          <w:szCs w:val="24"/>
        </w:rPr>
        <w:t>人，少数民族</w:t>
      </w:r>
      <w:r>
        <w:rPr>
          <w:rFonts w:hint="eastAsia" w:ascii="Times New Roman" w:hAnsi="Times New Roman" w:eastAsia="宋体" w:cs="Times New Roman"/>
          <w:sz w:val="24"/>
          <w:szCs w:val="24"/>
        </w:rPr>
        <w:t>53</w:t>
      </w:r>
      <w:r>
        <w:rPr>
          <w:rFonts w:ascii="Times New Roman" w:hAnsi="Times New Roman" w:eastAsia="宋体" w:cs="Times New Roman"/>
          <w:sz w:val="24"/>
          <w:szCs w:val="24"/>
        </w:rPr>
        <w:t>人</w:t>
      </w:r>
      <w:r>
        <w:rPr>
          <w:rFonts w:hint="eastAsia" w:ascii="Times New Roman" w:hAnsi="Times New Roman" w:eastAsia="宋体" w:cs="Times New Roman"/>
          <w:sz w:val="24"/>
          <w:szCs w:val="24"/>
        </w:rPr>
        <w:t>。</w:t>
      </w:r>
    </w:p>
    <w:p>
      <w:pPr>
        <w:pStyle w:val="32"/>
        <w:spacing w:before="156" w:afterLines="0" w:line="240" w:lineRule="auto"/>
        <w:ind w:firstLine="240" w:firstLineChars="100"/>
        <w:jc w:val="left"/>
        <w:rPr>
          <w:rFonts w:ascii="Times New Roman" w:hAnsi="Times New Roman"/>
          <w:color w:val="auto"/>
          <w:sz w:val="18"/>
          <w:szCs w:val="18"/>
        </w:rPr>
      </w:pPr>
      <w:r>
        <w:rPr>
          <w:color w:val="auto"/>
        </w:rPr>
        <w:drawing>
          <wp:inline distT="0" distB="0" distL="114300" distR="114300">
            <wp:extent cx="5274310" cy="4550410"/>
            <wp:effectExtent l="0" t="0" r="21590" b="2159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图1-2 2017届毕业生分层次民族分布情况</w:t>
      </w:r>
    </w:p>
    <w:p>
      <w:pPr>
        <w:pStyle w:val="3"/>
        <w:autoSpaceDE w:val="0"/>
        <w:spacing w:line="312" w:lineRule="auto"/>
        <w:rPr>
          <w:rFonts w:ascii="Times New Roman" w:hAnsi="Times New Roman" w:eastAsia="黑体" w:cs="Times New Roman"/>
        </w:rPr>
      </w:pPr>
      <w:bookmarkStart w:id="63" w:name="_Toc501407785"/>
      <w:r>
        <w:rPr>
          <w:rFonts w:hint="eastAsia" w:ascii="Times New Roman" w:hAnsi="Times New Roman" w:eastAsia="黑体" w:cs="Times New Roman"/>
        </w:rPr>
        <w:t>二、2017届毕业生就业状况分析</w:t>
      </w:r>
      <w:bookmarkEnd w:id="63"/>
    </w:p>
    <w:p>
      <w:pPr>
        <w:pStyle w:val="4"/>
        <w:autoSpaceDE w:val="0"/>
        <w:spacing w:beforeLines="0" w:afterLines="0" w:line="312" w:lineRule="auto"/>
        <w:ind w:firstLine="0" w:firstLineChars="0"/>
        <w:jc w:val="both"/>
        <w:rPr>
          <w:rFonts w:eastAsia="黑体"/>
          <w:bCs w:val="0"/>
          <w:snapToGrid/>
          <w:sz w:val="28"/>
          <w:szCs w:val="28"/>
        </w:rPr>
      </w:pPr>
      <w:bookmarkStart w:id="64" w:name="_Toc393891191"/>
      <w:bookmarkStart w:id="65" w:name="_Toc405994833"/>
      <w:bookmarkStart w:id="66" w:name="_Toc501407786"/>
      <w:r>
        <w:rPr>
          <w:rFonts w:hint="eastAsia" w:eastAsia="黑体"/>
          <w:bCs w:val="0"/>
          <w:snapToGrid/>
          <w:sz w:val="28"/>
          <w:szCs w:val="28"/>
        </w:rPr>
        <w:t>（一）</w:t>
      </w:r>
      <w:bookmarkEnd w:id="64"/>
      <w:r>
        <w:rPr>
          <w:rFonts w:hint="eastAsia" w:eastAsia="黑体"/>
          <w:bCs w:val="0"/>
          <w:snapToGrid/>
          <w:sz w:val="28"/>
          <w:szCs w:val="28"/>
        </w:rPr>
        <w:t>2017届毕业生就业率</w:t>
      </w:r>
      <w:bookmarkEnd w:id="65"/>
      <w:r>
        <w:rPr>
          <w:rFonts w:hint="eastAsia" w:eastAsia="黑体"/>
          <w:bCs w:val="0"/>
          <w:snapToGrid/>
          <w:sz w:val="28"/>
          <w:szCs w:val="28"/>
        </w:rPr>
        <w:t>及毕业去向</w:t>
      </w:r>
      <w:bookmarkEnd w:id="66"/>
    </w:p>
    <w:p>
      <w:pPr>
        <w:pStyle w:val="33"/>
        <w:spacing w:before="180" w:after="180" w:afterLines="0" w:line="360" w:lineRule="auto"/>
        <w:ind w:firstLine="482" w:firstLineChars="200"/>
        <w:outlineLvl w:val="2"/>
        <w:rPr>
          <w:rFonts w:ascii="Times New Roman" w:hAnsi="Times New Roman" w:eastAsia="宋体"/>
          <w:sz w:val="24"/>
          <w:szCs w:val="24"/>
        </w:rPr>
      </w:pPr>
      <w:bookmarkStart w:id="67" w:name="_Toc430099484"/>
      <w:bookmarkStart w:id="68" w:name="_Toc501407787"/>
      <w:bookmarkStart w:id="69" w:name="_Toc429218583"/>
      <w:r>
        <w:rPr>
          <w:rFonts w:hint="eastAsia" w:ascii="Times New Roman" w:hAnsi="Times New Roman" w:eastAsia="宋体"/>
          <w:sz w:val="24"/>
          <w:szCs w:val="24"/>
        </w:rPr>
        <w:t>1．2017届分层次毕业生就业率</w:t>
      </w:r>
      <w:bookmarkEnd w:id="67"/>
      <w:bookmarkEnd w:id="68"/>
      <w:bookmarkEnd w:id="69"/>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截止到</w:t>
      </w:r>
      <w:r>
        <w:rPr>
          <w:rFonts w:ascii="Times New Roman" w:hAnsi="Times New Roman" w:eastAsia="宋体" w:cs="Times New Roman"/>
          <w:sz w:val="24"/>
          <w:szCs w:val="24"/>
        </w:rPr>
        <w:t>201</w:t>
      </w:r>
      <w:r>
        <w:rPr>
          <w:rFonts w:hint="eastAsia" w:ascii="Times New Roman" w:hAnsi="Times New Roman" w:eastAsia="宋体" w:cs="Times New Roman"/>
          <w:sz w:val="24"/>
          <w:szCs w:val="24"/>
        </w:rPr>
        <w:t>7年</w:t>
      </w:r>
      <w:r>
        <w:rPr>
          <w:rFonts w:ascii="Times New Roman" w:hAnsi="Times New Roman" w:eastAsia="宋体" w:cs="Times New Roman"/>
          <w:sz w:val="24"/>
          <w:szCs w:val="24"/>
        </w:rPr>
        <w:t>12</w:t>
      </w:r>
      <w:r>
        <w:rPr>
          <w:rFonts w:hint="eastAsia" w:ascii="Times New Roman" w:hAnsi="Times New Roman" w:eastAsia="宋体" w:cs="Times New Roman"/>
          <w:sz w:val="24"/>
          <w:szCs w:val="24"/>
        </w:rPr>
        <w:t>月1日</w:t>
      </w:r>
      <w:r>
        <w:rPr>
          <w:rFonts w:ascii="Times New Roman" w:hAnsi="Times New Roman" w:eastAsia="宋体" w:cs="Times New Roman"/>
          <w:sz w:val="24"/>
          <w:szCs w:val="24"/>
        </w:rPr>
        <w:t>，</w:t>
      </w:r>
      <w:r>
        <w:rPr>
          <w:rFonts w:hint="eastAsia" w:ascii="Times New Roman" w:hAnsi="Times New Roman" w:eastAsia="宋体" w:cs="Times New Roman"/>
          <w:sz w:val="24"/>
          <w:szCs w:val="24"/>
        </w:rPr>
        <w:t>学校2017届</w:t>
      </w:r>
      <w:r>
        <w:rPr>
          <w:rFonts w:ascii="Times New Roman" w:hAnsi="Times New Roman" w:eastAsia="宋体" w:cs="Times New Roman"/>
          <w:sz w:val="24"/>
          <w:szCs w:val="24"/>
        </w:rPr>
        <w:t>毕业生的</w:t>
      </w:r>
      <w:r>
        <w:rPr>
          <w:rFonts w:hint="eastAsia" w:ascii="Times New Roman" w:hAnsi="Times New Roman" w:eastAsia="宋体" w:cs="Times New Roman"/>
          <w:sz w:val="24"/>
          <w:szCs w:val="24"/>
        </w:rPr>
        <w:t>总体年终就业率</w:t>
      </w:r>
      <w:r>
        <w:rPr>
          <w:rFonts w:ascii="Times New Roman" w:hAnsi="Times New Roman" w:eastAsia="宋体" w:cs="Times New Roman"/>
          <w:sz w:val="24"/>
          <w:szCs w:val="24"/>
        </w:rPr>
        <w:t>为</w:t>
      </w:r>
      <w:r>
        <w:rPr>
          <w:rFonts w:hint="eastAsia" w:ascii="Times New Roman" w:hAnsi="Times New Roman" w:eastAsia="宋体" w:cs="Times New Roman"/>
          <w:sz w:val="24"/>
          <w:szCs w:val="24"/>
        </w:rPr>
        <w:t>93.57</w:t>
      </w:r>
      <w:r>
        <w:rPr>
          <w:rFonts w:ascii="Times New Roman" w:hAnsi="Times New Roman" w:eastAsia="宋体" w:cs="Times New Roman"/>
          <w:sz w:val="24"/>
          <w:szCs w:val="24"/>
        </w:rPr>
        <w:t>%</w:t>
      </w:r>
      <w:r>
        <w:rPr>
          <w:rFonts w:hint="eastAsia" w:ascii="Times New Roman" w:hAnsi="Times New Roman" w:eastAsia="宋体" w:cs="Times New Roman"/>
          <w:sz w:val="24"/>
          <w:szCs w:val="24"/>
        </w:rPr>
        <w:t>。</w:t>
      </w:r>
      <w:r>
        <w:rPr>
          <w:rFonts w:ascii="Times New Roman" w:hAnsi="Times New Roman" w:eastAsia="宋体" w:cs="Times New Roman"/>
          <w:sz w:val="24"/>
          <w:szCs w:val="24"/>
        </w:rPr>
        <w:t>其中</w:t>
      </w:r>
      <w:r>
        <w:rPr>
          <w:rFonts w:hint="eastAsia" w:ascii="Times New Roman" w:hAnsi="Times New Roman" w:eastAsia="宋体" w:cs="Times New Roman"/>
          <w:sz w:val="24"/>
          <w:szCs w:val="24"/>
        </w:rPr>
        <w:t>本科毕业生的</w:t>
      </w:r>
      <w:r>
        <w:rPr>
          <w:rFonts w:ascii="Times New Roman" w:hAnsi="Times New Roman" w:eastAsia="宋体" w:cs="Times New Roman"/>
          <w:sz w:val="24"/>
          <w:szCs w:val="24"/>
        </w:rPr>
        <w:t>就业率为</w:t>
      </w:r>
      <w:r>
        <w:rPr>
          <w:rFonts w:hint="eastAsia" w:ascii="Times New Roman" w:hAnsi="Times New Roman" w:eastAsia="宋体" w:cs="Times New Roman"/>
          <w:sz w:val="24"/>
          <w:szCs w:val="24"/>
        </w:rPr>
        <w:t>95.23</w:t>
      </w:r>
      <w:r>
        <w:rPr>
          <w:rFonts w:ascii="Times New Roman" w:hAnsi="Times New Roman" w:eastAsia="宋体" w:cs="Times New Roman"/>
          <w:sz w:val="24"/>
          <w:szCs w:val="24"/>
        </w:rPr>
        <w:t>%，</w:t>
      </w:r>
      <w:r>
        <w:rPr>
          <w:rFonts w:hint="eastAsia" w:ascii="Times New Roman" w:hAnsi="Times New Roman" w:eastAsia="宋体" w:cs="Times New Roman"/>
          <w:sz w:val="24"/>
          <w:szCs w:val="24"/>
        </w:rPr>
        <w:t>专科毕业生的</w:t>
      </w:r>
      <w:r>
        <w:rPr>
          <w:rFonts w:ascii="Times New Roman" w:hAnsi="Times New Roman" w:eastAsia="宋体" w:cs="Times New Roman"/>
          <w:sz w:val="24"/>
          <w:szCs w:val="24"/>
        </w:rPr>
        <w:t>就业率为</w:t>
      </w:r>
      <w:r>
        <w:rPr>
          <w:rFonts w:hint="eastAsia" w:ascii="Times New Roman" w:hAnsi="Times New Roman" w:eastAsia="宋体" w:cs="Times New Roman"/>
          <w:sz w:val="24"/>
          <w:szCs w:val="24"/>
        </w:rPr>
        <w:t>86.15</w:t>
      </w:r>
      <w:r>
        <w:rPr>
          <w:rFonts w:ascii="Times New Roman" w:hAnsi="Times New Roman" w:eastAsia="宋体" w:cs="Times New Roman"/>
          <w:sz w:val="24"/>
          <w:szCs w:val="24"/>
        </w:rPr>
        <w:t>%</w:t>
      </w:r>
      <w:r>
        <w:rPr>
          <w:rFonts w:hint="eastAsia" w:ascii="Times New Roman" w:hAnsi="Times New Roman" w:eastAsia="宋体" w:cs="Times New Roman"/>
          <w:sz w:val="24"/>
          <w:szCs w:val="24"/>
        </w:rPr>
        <w:t>。</w:t>
      </w:r>
    </w:p>
    <w:p>
      <w:pPr>
        <w:pStyle w:val="32"/>
        <w:spacing w:before="156" w:afterLines="0" w:line="240" w:lineRule="auto"/>
        <w:ind w:firstLine="240" w:firstLineChars="100"/>
        <w:jc w:val="center"/>
        <w:rPr>
          <w:rFonts w:ascii="Times New Roman" w:hAnsi="Times New Roman"/>
          <w:color w:val="auto"/>
        </w:rPr>
      </w:pPr>
      <w:r>
        <w:rPr>
          <w:color w:val="auto"/>
        </w:rPr>
        <w:drawing>
          <wp:inline distT="0" distB="0" distL="0" distR="0">
            <wp:extent cx="4389120" cy="2409190"/>
            <wp:effectExtent l="0" t="0" r="11430" b="10160"/>
            <wp:docPr id="256" name="图片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256"/>
                    <pic:cNvPicPr>
                      <a:picLocks noChangeAspect="1"/>
                    </pic:cNvPicPr>
                  </pic:nvPicPr>
                  <pic:blipFill>
                    <a:blip r:embed="rId11"/>
                    <a:stretch>
                      <a:fillRect/>
                    </a:stretch>
                  </pic:blipFill>
                  <pic:spPr>
                    <a:xfrm>
                      <a:off x="0" y="0"/>
                      <a:ext cx="4389120" cy="2409190"/>
                    </a:xfrm>
                    <a:prstGeom prst="rect">
                      <a:avLst/>
                    </a:prstGeom>
                  </pic:spPr>
                </pic:pic>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图1-3 2017届分层次毕业生就业率</w:t>
      </w:r>
    </w:p>
    <w:p>
      <w:pPr>
        <w:spacing w:before="156" w:beforeLines="50" w:after="156" w:afterLines="50" w:line="312" w:lineRule="auto"/>
        <w:ind w:firstLine="420" w:firstLineChars="200"/>
        <w:rPr>
          <w:rFonts w:ascii="Times New Roman" w:hAnsi="Times New Roman"/>
          <w:szCs w:val="18"/>
        </w:rPr>
      </w:pPr>
      <w:r>
        <w:rPr>
          <w:rFonts w:hint="eastAsia" w:ascii="Times New Roman" w:hAnsi="Times New Roman"/>
          <w:szCs w:val="18"/>
        </w:rPr>
        <w:t>注：就业人数包括单位就业（签就业协议形式就业、签劳动合同形式就业、其它录用形式就业、国家基层项目）、国内升学、自主创业。就业率=（就业人数/毕业生总人数）*100%。</w:t>
      </w:r>
    </w:p>
    <w:p>
      <w:pPr>
        <w:pStyle w:val="33"/>
        <w:spacing w:before="180" w:after="180" w:afterLines="0" w:line="360" w:lineRule="auto"/>
        <w:ind w:firstLine="482" w:firstLineChars="200"/>
        <w:outlineLvl w:val="2"/>
        <w:rPr>
          <w:rFonts w:ascii="Times New Roman" w:hAnsi="Times New Roman" w:eastAsia="宋体"/>
          <w:sz w:val="24"/>
          <w:szCs w:val="24"/>
        </w:rPr>
      </w:pPr>
      <w:bookmarkStart w:id="70" w:name="_Toc501407788"/>
      <w:r>
        <w:rPr>
          <w:rFonts w:hint="eastAsia" w:ascii="Times New Roman" w:hAnsi="Times New Roman" w:eastAsia="宋体"/>
          <w:sz w:val="24"/>
          <w:szCs w:val="24"/>
        </w:rPr>
        <w:t>2．2017届分学院毕业生就业率</w:t>
      </w:r>
      <w:bookmarkEnd w:id="70"/>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截止到2017年12月1日，就业率最高的三个学院分别为艺术设计学院（98.85%）、信息技术与文化管理学院（97.89%）、新闻传播学院（97.62%）。</w:t>
      </w:r>
    </w:p>
    <w:p>
      <w:pPr>
        <w:pStyle w:val="32"/>
        <w:spacing w:before="156" w:afterLines="0" w:line="240" w:lineRule="auto"/>
        <w:ind w:firstLine="0" w:firstLineChars="0"/>
        <w:jc w:val="center"/>
        <w:rPr>
          <w:rFonts w:ascii="Times New Roman" w:hAnsi="Times New Roman"/>
          <w:color w:val="auto"/>
          <w:sz w:val="18"/>
          <w:szCs w:val="18"/>
        </w:rPr>
      </w:pPr>
      <w:r>
        <w:rPr>
          <w:color w:val="auto"/>
        </w:rPr>
        <w:drawing>
          <wp:inline distT="0" distB="0" distL="0" distR="0">
            <wp:extent cx="3800475" cy="2503170"/>
            <wp:effectExtent l="0" t="0" r="9525"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3800475" cy="2503170"/>
                    </a:xfrm>
                    <a:prstGeom prst="rect">
                      <a:avLst/>
                    </a:prstGeom>
                  </pic:spPr>
                </pic:pic>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图1-4 2017届毕业生分学院就业率</w:t>
      </w:r>
    </w:p>
    <w:p>
      <w:pPr>
        <w:pStyle w:val="33"/>
        <w:spacing w:before="180" w:after="180" w:afterLines="0" w:line="360" w:lineRule="auto"/>
        <w:ind w:firstLine="482" w:firstLineChars="200"/>
        <w:outlineLvl w:val="2"/>
        <w:rPr>
          <w:rFonts w:ascii="Times New Roman" w:hAnsi="Times New Roman" w:eastAsia="宋体"/>
          <w:sz w:val="24"/>
          <w:szCs w:val="24"/>
        </w:rPr>
      </w:pPr>
      <w:bookmarkStart w:id="71" w:name="_Toc430099485"/>
      <w:bookmarkStart w:id="72" w:name="_Toc429218585"/>
      <w:bookmarkStart w:id="73" w:name="_Toc501407789"/>
      <w:r>
        <w:rPr>
          <w:rFonts w:hint="eastAsia" w:ascii="Times New Roman" w:hAnsi="Times New Roman" w:eastAsia="宋体"/>
          <w:sz w:val="24"/>
          <w:szCs w:val="24"/>
        </w:rPr>
        <w:t>3．2017届毕业生毕业去向</w:t>
      </w:r>
      <w:bookmarkEnd w:id="71"/>
      <w:bookmarkEnd w:id="72"/>
      <w:bookmarkEnd w:id="73"/>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2017届毕业生总体以签劳动合同形式就业和其他录用形式就业为主，占比59.74%。其中，本科毕业生以签劳动合同形式就业和其他录用形式就业为主，占比65.71%，专科毕业生以签劳动合同形式就业和国内升学为主，占比分别为33.04%和27.42%。</w:t>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表1-9 2017届毕业生毕业去向</w:t>
      </w:r>
    </w:p>
    <w:tbl>
      <w:tblPr>
        <w:tblStyle w:val="26"/>
        <w:tblW w:w="8188" w:type="dxa"/>
        <w:jc w:val="center"/>
        <w:tblInd w:w="0" w:type="dxa"/>
        <w:tblLayout w:type="fixed"/>
        <w:tblCellMar>
          <w:top w:w="0" w:type="dxa"/>
          <w:left w:w="108" w:type="dxa"/>
          <w:bottom w:w="0" w:type="dxa"/>
          <w:right w:w="108" w:type="dxa"/>
        </w:tblCellMar>
      </w:tblPr>
      <w:tblGrid>
        <w:gridCol w:w="2235"/>
        <w:gridCol w:w="992"/>
        <w:gridCol w:w="992"/>
        <w:gridCol w:w="992"/>
        <w:gridCol w:w="993"/>
        <w:gridCol w:w="992"/>
        <w:gridCol w:w="992"/>
      </w:tblGrid>
      <w:tr>
        <w:tblPrEx>
          <w:tblLayout w:type="fixed"/>
          <w:tblCellMar>
            <w:top w:w="0" w:type="dxa"/>
            <w:left w:w="108" w:type="dxa"/>
            <w:bottom w:w="0" w:type="dxa"/>
            <w:right w:w="108" w:type="dxa"/>
          </w:tblCellMar>
        </w:tblPrEx>
        <w:trPr>
          <w:trHeight w:val="284" w:hRule="atLeast"/>
          <w:jc w:val="center"/>
        </w:trPr>
        <w:tc>
          <w:tcPr>
            <w:tcW w:w="2235" w:type="dxa"/>
            <w:vMerge w:val="restart"/>
            <w:tcBorders>
              <w:top w:val="single" w:color="4BACC6" w:sz="8" w:space="0"/>
              <w:left w:val="single" w:color="4BACC6" w:sz="8" w:space="0"/>
              <w:bottom w:val="single" w:color="FFFFFF" w:sz="4" w:space="0"/>
              <w:right w:val="single" w:color="4BACC6" w:sz="8" w:space="0"/>
              <w:tl2br w:val="single" w:color="auto" w:sz="4" w:space="0"/>
            </w:tcBorders>
            <w:shd w:val="clear" w:color="auto" w:fill="4BACC6"/>
            <w:vAlign w:val="bottom"/>
          </w:tcPr>
          <w:p>
            <w:pPr>
              <w:widowControl/>
              <w:jc w:val="center"/>
              <w:textAlignment w:val="bottom"/>
              <w:rPr>
                <w:rFonts w:ascii="Arial" w:hAnsi="Arial" w:eastAsia="宋体" w:cs="黑体"/>
                <w:b/>
                <w:bCs/>
                <w:sz w:val="20"/>
                <w:szCs w:val="20"/>
              </w:rPr>
            </w:pPr>
            <w:r>
              <w:rPr>
                <w:rFonts w:hint="eastAsia" w:ascii="Arial" w:hAnsi="Arial" w:eastAsia="宋体" w:cs="黑体"/>
                <w:b/>
                <w:bCs/>
                <w:sz w:val="20"/>
                <w:szCs w:val="20"/>
              </w:rPr>
              <w:t xml:space="preserve">          学历</w:t>
            </w:r>
          </w:p>
          <w:p>
            <w:pPr>
              <w:widowControl/>
              <w:textAlignment w:val="bottom"/>
              <w:rPr>
                <w:rFonts w:ascii="Arial" w:hAnsi="Arial" w:eastAsia="宋体" w:cs="黑体"/>
                <w:b/>
                <w:bCs/>
                <w:sz w:val="20"/>
                <w:szCs w:val="20"/>
              </w:rPr>
            </w:pPr>
            <w:r>
              <w:rPr>
                <w:rFonts w:hint="eastAsia" w:ascii="Arial" w:hAnsi="Arial" w:eastAsia="宋体" w:cs="黑体"/>
                <w:b/>
                <w:bCs/>
                <w:sz w:val="20"/>
                <w:szCs w:val="20"/>
              </w:rPr>
              <w:t>毕业去向</w:t>
            </w:r>
          </w:p>
        </w:tc>
        <w:tc>
          <w:tcPr>
            <w:tcW w:w="1984" w:type="dxa"/>
            <w:gridSpan w:val="2"/>
            <w:tcBorders>
              <w:top w:val="single" w:color="4BACC6" w:sz="8" w:space="0"/>
              <w:left w:val="single" w:color="4BACC6" w:sz="8" w:space="0"/>
              <w:bottom w:val="single" w:color="FFFFFF" w:sz="4" w:space="0"/>
              <w:right w:val="single" w:color="4BACC6" w:sz="8" w:space="0"/>
            </w:tcBorders>
            <w:shd w:val="clear" w:color="auto" w:fill="4BACC6"/>
            <w:vAlign w:val="bottom"/>
          </w:tcPr>
          <w:p>
            <w:pPr>
              <w:jc w:val="center"/>
              <w:rPr>
                <w:rFonts w:ascii="Arial" w:hAnsi="Arial" w:eastAsia="宋体" w:cs="Arial"/>
                <w:b/>
                <w:sz w:val="20"/>
                <w:szCs w:val="20"/>
              </w:rPr>
            </w:pPr>
            <w:r>
              <w:rPr>
                <w:rFonts w:hint="eastAsia" w:ascii="Arial" w:hAnsi="Arial" w:eastAsia="宋体" w:cs="Arial"/>
                <w:b/>
                <w:sz w:val="20"/>
                <w:szCs w:val="20"/>
              </w:rPr>
              <w:t>本科毕业生</w:t>
            </w:r>
          </w:p>
        </w:tc>
        <w:tc>
          <w:tcPr>
            <w:tcW w:w="1985" w:type="dxa"/>
            <w:gridSpan w:val="2"/>
            <w:tcBorders>
              <w:top w:val="single" w:color="4BACC6" w:sz="8" w:space="0"/>
              <w:left w:val="single" w:color="4BACC6" w:sz="8" w:space="0"/>
              <w:bottom w:val="single" w:color="FFFFFF" w:sz="4" w:space="0"/>
              <w:right w:val="single" w:color="4BACC6" w:sz="8" w:space="0"/>
            </w:tcBorders>
            <w:shd w:val="clear" w:color="auto" w:fill="4BACC6"/>
            <w:vAlign w:val="bottom"/>
          </w:tcPr>
          <w:p>
            <w:pPr>
              <w:jc w:val="center"/>
              <w:rPr>
                <w:rFonts w:ascii="Arial" w:hAnsi="Arial" w:eastAsia="宋体" w:cs="Arial"/>
                <w:b/>
                <w:sz w:val="20"/>
                <w:szCs w:val="20"/>
              </w:rPr>
            </w:pPr>
            <w:r>
              <w:rPr>
                <w:rFonts w:hint="eastAsia" w:ascii="Arial" w:hAnsi="Arial" w:eastAsia="宋体" w:cs="Arial"/>
                <w:b/>
                <w:sz w:val="20"/>
                <w:szCs w:val="20"/>
              </w:rPr>
              <w:t>专科毕业生</w:t>
            </w:r>
          </w:p>
        </w:tc>
        <w:tc>
          <w:tcPr>
            <w:tcW w:w="1984" w:type="dxa"/>
            <w:gridSpan w:val="2"/>
            <w:tcBorders>
              <w:top w:val="single" w:color="4BACC6" w:sz="8" w:space="0"/>
              <w:left w:val="single" w:color="4BACC6" w:sz="8" w:space="0"/>
              <w:bottom w:val="single" w:color="FFFFFF" w:sz="4" w:space="0"/>
              <w:right w:val="single" w:color="4BACC6" w:sz="8" w:space="0"/>
            </w:tcBorders>
            <w:shd w:val="clear" w:color="auto" w:fill="4BACC6"/>
            <w:vAlign w:val="bottom"/>
          </w:tcPr>
          <w:p>
            <w:pPr>
              <w:jc w:val="center"/>
              <w:rPr>
                <w:rFonts w:ascii="Arial" w:hAnsi="Arial" w:eastAsia="宋体" w:cs="Arial"/>
                <w:b/>
                <w:sz w:val="20"/>
                <w:szCs w:val="20"/>
              </w:rPr>
            </w:pPr>
            <w:r>
              <w:rPr>
                <w:rFonts w:hint="eastAsia" w:ascii="Arial" w:hAnsi="Arial" w:eastAsia="宋体" w:cs="Arial"/>
                <w:b/>
                <w:sz w:val="20"/>
                <w:szCs w:val="20"/>
              </w:rPr>
              <w:t>总体</w:t>
            </w:r>
          </w:p>
        </w:tc>
      </w:tr>
      <w:tr>
        <w:tblPrEx>
          <w:tblLayout w:type="fixed"/>
          <w:tblCellMar>
            <w:top w:w="0" w:type="dxa"/>
            <w:left w:w="108" w:type="dxa"/>
            <w:bottom w:w="0" w:type="dxa"/>
            <w:right w:w="108" w:type="dxa"/>
          </w:tblCellMar>
        </w:tblPrEx>
        <w:trPr>
          <w:trHeight w:val="284" w:hRule="atLeast"/>
          <w:jc w:val="center"/>
        </w:trPr>
        <w:tc>
          <w:tcPr>
            <w:tcW w:w="2235" w:type="dxa"/>
            <w:vMerge w:val="continue"/>
            <w:tcBorders>
              <w:top w:val="single" w:color="FFFFFF" w:sz="4" w:space="0"/>
              <w:left w:val="single" w:color="4BACC6" w:sz="8" w:space="0"/>
              <w:bottom w:val="single" w:color="4BACC6" w:sz="8" w:space="0"/>
              <w:right w:val="single" w:color="4BACC6" w:sz="8" w:space="0"/>
              <w:tl2br w:val="single" w:color="auto" w:sz="4" w:space="0"/>
            </w:tcBorders>
            <w:shd w:val="clear" w:color="auto" w:fill="B7DDE8"/>
            <w:vAlign w:val="bottom"/>
          </w:tcPr>
          <w:p>
            <w:pPr>
              <w:widowControl/>
              <w:jc w:val="center"/>
              <w:textAlignment w:val="bottom"/>
              <w:rPr>
                <w:rFonts w:ascii="Arial" w:hAnsi="Arial" w:eastAsia="宋体" w:cs="黑体"/>
                <w:kern w:val="0"/>
                <w:sz w:val="20"/>
                <w:szCs w:val="20"/>
                <w:lang w:bidi="ar"/>
              </w:rPr>
            </w:pPr>
          </w:p>
        </w:tc>
        <w:tc>
          <w:tcPr>
            <w:tcW w:w="992" w:type="dxa"/>
            <w:tcBorders>
              <w:top w:val="single" w:color="FFFFFF" w:sz="4"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黑体"/>
                <w:b/>
                <w:kern w:val="0"/>
                <w:sz w:val="20"/>
                <w:szCs w:val="20"/>
                <w:lang w:bidi="ar"/>
              </w:rPr>
            </w:pPr>
            <w:r>
              <w:rPr>
                <w:rFonts w:hint="eastAsia" w:ascii="Arial" w:hAnsi="Arial" w:eastAsia="宋体" w:cs="黑体"/>
                <w:b/>
                <w:kern w:val="0"/>
                <w:sz w:val="20"/>
                <w:szCs w:val="20"/>
                <w:lang w:bidi="ar"/>
              </w:rPr>
              <w:t>人数</w:t>
            </w:r>
          </w:p>
        </w:tc>
        <w:tc>
          <w:tcPr>
            <w:tcW w:w="992" w:type="dxa"/>
            <w:tcBorders>
              <w:top w:val="single" w:color="FFFFFF" w:sz="4" w:space="0"/>
              <w:left w:val="single" w:color="4BACC6" w:sz="8" w:space="0"/>
              <w:bottom w:val="single" w:color="4BACC6" w:sz="8" w:space="0"/>
              <w:right w:val="single" w:color="4BACC6" w:sz="8" w:space="0"/>
            </w:tcBorders>
            <w:shd w:val="clear" w:color="auto" w:fill="B7DDE8"/>
            <w:vAlign w:val="bottom"/>
          </w:tcPr>
          <w:p>
            <w:pPr>
              <w:jc w:val="center"/>
              <w:rPr>
                <w:rFonts w:ascii="Arial" w:hAnsi="Arial" w:cs="Arial"/>
                <w:b/>
                <w:sz w:val="20"/>
                <w:szCs w:val="20"/>
              </w:rPr>
            </w:pPr>
            <w:r>
              <w:rPr>
                <w:rFonts w:hint="eastAsia" w:ascii="Arial" w:hAnsi="Arial" w:cs="Arial"/>
                <w:b/>
                <w:sz w:val="20"/>
                <w:szCs w:val="20"/>
              </w:rPr>
              <w:t>比例</w:t>
            </w:r>
          </w:p>
        </w:tc>
        <w:tc>
          <w:tcPr>
            <w:tcW w:w="992" w:type="dxa"/>
            <w:tcBorders>
              <w:top w:val="single" w:color="FFFFFF" w:sz="4"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黑体"/>
                <w:b/>
                <w:kern w:val="0"/>
                <w:sz w:val="20"/>
                <w:szCs w:val="20"/>
                <w:lang w:bidi="ar"/>
              </w:rPr>
            </w:pPr>
            <w:r>
              <w:rPr>
                <w:rFonts w:hint="eastAsia" w:ascii="Arial" w:hAnsi="Arial" w:eastAsia="宋体" w:cs="黑体"/>
                <w:b/>
                <w:kern w:val="0"/>
                <w:sz w:val="20"/>
                <w:szCs w:val="20"/>
                <w:lang w:bidi="ar"/>
              </w:rPr>
              <w:t>人数</w:t>
            </w:r>
          </w:p>
        </w:tc>
        <w:tc>
          <w:tcPr>
            <w:tcW w:w="993" w:type="dxa"/>
            <w:tcBorders>
              <w:top w:val="single" w:color="FFFFFF" w:sz="4" w:space="0"/>
              <w:left w:val="single" w:color="4BACC6" w:sz="8" w:space="0"/>
              <w:bottom w:val="single" w:color="4BACC6" w:sz="8" w:space="0"/>
              <w:right w:val="single" w:color="4BACC6" w:sz="8" w:space="0"/>
            </w:tcBorders>
            <w:shd w:val="clear" w:color="auto" w:fill="B7DDE8"/>
            <w:vAlign w:val="bottom"/>
          </w:tcPr>
          <w:p>
            <w:pPr>
              <w:jc w:val="center"/>
              <w:rPr>
                <w:rFonts w:ascii="Arial" w:hAnsi="Arial" w:cs="Arial"/>
                <w:b/>
                <w:sz w:val="20"/>
                <w:szCs w:val="20"/>
              </w:rPr>
            </w:pPr>
            <w:r>
              <w:rPr>
                <w:rFonts w:hint="eastAsia" w:ascii="Arial" w:hAnsi="Arial" w:cs="Arial"/>
                <w:b/>
                <w:sz w:val="20"/>
                <w:szCs w:val="20"/>
              </w:rPr>
              <w:t>比例</w:t>
            </w:r>
          </w:p>
        </w:tc>
        <w:tc>
          <w:tcPr>
            <w:tcW w:w="992" w:type="dxa"/>
            <w:tcBorders>
              <w:top w:val="single" w:color="FFFFFF" w:sz="4"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黑体"/>
                <w:b/>
                <w:kern w:val="0"/>
                <w:sz w:val="20"/>
                <w:szCs w:val="20"/>
                <w:lang w:bidi="ar"/>
              </w:rPr>
            </w:pPr>
            <w:r>
              <w:rPr>
                <w:rFonts w:hint="eastAsia" w:ascii="Arial" w:hAnsi="Arial" w:eastAsia="宋体" w:cs="黑体"/>
                <w:b/>
                <w:kern w:val="0"/>
                <w:sz w:val="20"/>
                <w:szCs w:val="20"/>
                <w:lang w:bidi="ar"/>
              </w:rPr>
              <w:t>人数</w:t>
            </w:r>
          </w:p>
        </w:tc>
        <w:tc>
          <w:tcPr>
            <w:tcW w:w="992" w:type="dxa"/>
            <w:tcBorders>
              <w:top w:val="single" w:color="FFFFFF" w:sz="4" w:space="0"/>
              <w:left w:val="single" w:color="4BACC6" w:sz="8" w:space="0"/>
              <w:bottom w:val="single" w:color="4BACC6" w:sz="8" w:space="0"/>
              <w:right w:val="single" w:color="4BACC6" w:sz="8" w:space="0"/>
            </w:tcBorders>
            <w:shd w:val="clear" w:color="auto" w:fill="B7DDE8"/>
            <w:vAlign w:val="bottom"/>
          </w:tcPr>
          <w:p>
            <w:pPr>
              <w:jc w:val="center"/>
              <w:rPr>
                <w:rFonts w:ascii="Arial" w:hAnsi="Arial" w:cs="Arial"/>
                <w:b/>
                <w:sz w:val="20"/>
                <w:szCs w:val="20"/>
              </w:rPr>
            </w:pPr>
            <w:r>
              <w:rPr>
                <w:rFonts w:hint="eastAsia" w:ascii="Arial" w:hAnsi="Arial" w:cs="Arial"/>
                <w:b/>
                <w:sz w:val="20"/>
                <w:szCs w:val="20"/>
              </w:rPr>
              <w:t>比例</w:t>
            </w:r>
          </w:p>
        </w:tc>
      </w:tr>
      <w:tr>
        <w:tblPrEx>
          <w:tblLayout w:type="fixed"/>
          <w:tblCellMar>
            <w:top w:w="0" w:type="dxa"/>
            <w:left w:w="108" w:type="dxa"/>
            <w:bottom w:w="0" w:type="dxa"/>
            <w:right w:w="108" w:type="dxa"/>
          </w:tblCellMar>
        </w:tblPrEx>
        <w:trPr>
          <w:trHeight w:val="284" w:hRule="atLeast"/>
          <w:jc w:val="center"/>
        </w:trPr>
        <w:tc>
          <w:tcPr>
            <w:tcW w:w="2235"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黑体"/>
                <w:bCs/>
                <w:sz w:val="20"/>
                <w:szCs w:val="20"/>
              </w:rPr>
            </w:pPr>
            <w:r>
              <w:rPr>
                <w:rFonts w:hint="eastAsia" w:ascii="Arial" w:hAnsi="Arial" w:eastAsia="宋体" w:cs="黑体"/>
                <w:kern w:val="0"/>
                <w:sz w:val="20"/>
                <w:szCs w:val="20"/>
                <w:lang w:bidi="ar"/>
              </w:rPr>
              <w:t>签就业协议形式就业</w:t>
            </w:r>
          </w:p>
        </w:tc>
        <w:tc>
          <w:tcPr>
            <w:tcW w:w="99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42</w:t>
            </w:r>
          </w:p>
        </w:tc>
        <w:tc>
          <w:tcPr>
            <w:tcW w:w="99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1.35%</w:t>
            </w:r>
          </w:p>
        </w:tc>
        <w:tc>
          <w:tcPr>
            <w:tcW w:w="99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10</w:t>
            </w:r>
          </w:p>
        </w:tc>
        <w:tc>
          <w:tcPr>
            <w:tcW w:w="993"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1.44%</w:t>
            </w:r>
          </w:p>
        </w:tc>
        <w:tc>
          <w:tcPr>
            <w:tcW w:w="99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52</w:t>
            </w:r>
          </w:p>
        </w:tc>
        <w:tc>
          <w:tcPr>
            <w:tcW w:w="99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1.37%</w:t>
            </w:r>
          </w:p>
        </w:tc>
      </w:tr>
      <w:tr>
        <w:tblPrEx>
          <w:tblLayout w:type="fixed"/>
          <w:tblCellMar>
            <w:top w:w="0" w:type="dxa"/>
            <w:left w:w="108" w:type="dxa"/>
            <w:bottom w:w="0" w:type="dxa"/>
            <w:right w:w="108" w:type="dxa"/>
          </w:tblCellMar>
        </w:tblPrEx>
        <w:trPr>
          <w:trHeight w:val="284" w:hRule="atLeast"/>
          <w:jc w:val="center"/>
        </w:trPr>
        <w:tc>
          <w:tcPr>
            <w:tcW w:w="2235"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黑体"/>
                <w:bCs/>
                <w:sz w:val="20"/>
                <w:szCs w:val="20"/>
              </w:rPr>
            </w:pPr>
            <w:r>
              <w:rPr>
                <w:rFonts w:hint="eastAsia" w:ascii="Arial" w:hAnsi="Arial" w:eastAsia="宋体" w:cs="黑体"/>
                <w:kern w:val="0"/>
                <w:sz w:val="20"/>
                <w:szCs w:val="20"/>
                <w:lang w:bidi="ar"/>
              </w:rPr>
              <w:t>签劳动合同形式就业</w:t>
            </w:r>
          </w:p>
        </w:tc>
        <w:tc>
          <w:tcPr>
            <w:tcW w:w="99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2037</w:t>
            </w:r>
          </w:p>
        </w:tc>
        <w:tc>
          <w:tcPr>
            <w:tcW w:w="99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65.71%</w:t>
            </w:r>
          </w:p>
        </w:tc>
        <w:tc>
          <w:tcPr>
            <w:tcW w:w="99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229</w:t>
            </w:r>
          </w:p>
        </w:tc>
        <w:tc>
          <w:tcPr>
            <w:tcW w:w="993"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33.04%</w:t>
            </w:r>
          </w:p>
        </w:tc>
        <w:tc>
          <w:tcPr>
            <w:tcW w:w="99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2266</w:t>
            </w:r>
          </w:p>
        </w:tc>
        <w:tc>
          <w:tcPr>
            <w:tcW w:w="99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59.74%</w:t>
            </w:r>
          </w:p>
        </w:tc>
      </w:tr>
      <w:tr>
        <w:tblPrEx>
          <w:tblLayout w:type="fixed"/>
          <w:tblCellMar>
            <w:top w:w="0" w:type="dxa"/>
            <w:left w:w="108" w:type="dxa"/>
            <w:bottom w:w="0" w:type="dxa"/>
            <w:right w:w="108" w:type="dxa"/>
          </w:tblCellMar>
        </w:tblPrEx>
        <w:trPr>
          <w:trHeight w:val="284" w:hRule="atLeast"/>
          <w:jc w:val="center"/>
        </w:trPr>
        <w:tc>
          <w:tcPr>
            <w:tcW w:w="2235"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黑体"/>
                <w:bCs/>
                <w:sz w:val="20"/>
                <w:szCs w:val="20"/>
              </w:rPr>
            </w:pPr>
            <w:r>
              <w:rPr>
                <w:rFonts w:hint="eastAsia" w:ascii="Arial" w:hAnsi="Arial" w:eastAsia="宋体" w:cs="黑体"/>
                <w:kern w:val="0"/>
                <w:sz w:val="20"/>
                <w:szCs w:val="20"/>
                <w:lang w:bidi="ar"/>
              </w:rPr>
              <w:t>其他录用形式就业</w:t>
            </w:r>
          </w:p>
        </w:tc>
        <w:tc>
          <w:tcPr>
            <w:tcW w:w="99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705</w:t>
            </w:r>
          </w:p>
        </w:tc>
        <w:tc>
          <w:tcPr>
            <w:tcW w:w="99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22.74%</w:t>
            </w:r>
          </w:p>
        </w:tc>
        <w:tc>
          <w:tcPr>
            <w:tcW w:w="992"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center"/>
              <w:rPr>
                <w:rFonts w:ascii="Arial" w:hAnsi="Arial" w:eastAsia="宋体" w:cs="Arial"/>
                <w:sz w:val="20"/>
                <w:szCs w:val="20"/>
              </w:rPr>
            </w:pPr>
            <w:r>
              <w:rPr>
                <w:rFonts w:ascii="Arial" w:hAnsi="Arial" w:eastAsia="宋体" w:cs="Arial"/>
                <w:kern w:val="0"/>
                <w:sz w:val="20"/>
                <w:szCs w:val="20"/>
                <w:lang w:bidi="ar"/>
              </w:rPr>
              <w:t>101</w:t>
            </w:r>
          </w:p>
        </w:tc>
        <w:tc>
          <w:tcPr>
            <w:tcW w:w="993"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14.57%</w:t>
            </w:r>
          </w:p>
        </w:tc>
        <w:tc>
          <w:tcPr>
            <w:tcW w:w="99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806</w:t>
            </w:r>
          </w:p>
        </w:tc>
        <w:tc>
          <w:tcPr>
            <w:tcW w:w="99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21.25%</w:t>
            </w:r>
          </w:p>
        </w:tc>
      </w:tr>
      <w:tr>
        <w:tblPrEx>
          <w:tblLayout w:type="fixed"/>
          <w:tblCellMar>
            <w:top w:w="0" w:type="dxa"/>
            <w:left w:w="108" w:type="dxa"/>
            <w:bottom w:w="0" w:type="dxa"/>
            <w:right w:w="108" w:type="dxa"/>
          </w:tblCellMar>
        </w:tblPrEx>
        <w:trPr>
          <w:trHeight w:val="284" w:hRule="atLeast"/>
          <w:jc w:val="center"/>
        </w:trPr>
        <w:tc>
          <w:tcPr>
            <w:tcW w:w="2235"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黑体"/>
                <w:bCs/>
                <w:sz w:val="20"/>
                <w:szCs w:val="20"/>
              </w:rPr>
            </w:pPr>
            <w:r>
              <w:rPr>
                <w:rFonts w:hint="eastAsia" w:ascii="Arial" w:hAnsi="Arial" w:eastAsia="宋体" w:cs="黑体"/>
                <w:kern w:val="0"/>
                <w:sz w:val="20"/>
                <w:szCs w:val="20"/>
                <w:lang w:bidi="ar"/>
              </w:rPr>
              <w:t>国家基层项目</w:t>
            </w:r>
          </w:p>
        </w:tc>
        <w:tc>
          <w:tcPr>
            <w:tcW w:w="99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14</w:t>
            </w:r>
          </w:p>
        </w:tc>
        <w:tc>
          <w:tcPr>
            <w:tcW w:w="99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0.45%</w:t>
            </w:r>
          </w:p>
        </w:tc>
        <w:tc>
          <w:tcPr>
            <w:tcW w:w="992"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center"/>
              <w:rPr>
                <w:rFonts w:ascii="Arial" w:hAnsi="Arial" w:eastAsia="宋体" w:cs="Arial"/>
                <w:sz w:val="20"/>
                <w:szCs w:val="20"/>
              </w:rPr>
            </w:pPr>
            <w:r>
              <w:rPr>
                <w:rFonts w:ascii="Arial" w:hAnsi="Arial" w:eastAsia="宋体" w:cs="Arial"/>
                <w:kern w:val="0"/>
                <w:sz w:val="20"/>
                <w:szCs w:val="20"/>
                <w:lang w:bidi="ar"/>
              </w:rPr>
              <w:t>8</w:t>
            </w:r>
          </w:p>
        </w:tc>
        <w:tc>
          <w:tcPr>
            <w:tcW w:w="993"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1.15%</w:t>
            </w:r>
          </w:p>
        </w:tc>
        <w:tc>
          <w:tcPr>
            <w:tcW w:w="99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22</w:t>
            </w:r>
          </w:p>
        </w:tc>
        <w:tc>
          <w:tcPr>
            <w:tcW w:w="99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0.58%</w:t>
            </w:r>
          </w:p>
        </w:tc>
      </w:tr>
      <w:tr>
        <w:tblPrEx>
          <w:tblLayout w:type="fixed"/>
          <w:tblCellMar>
            <w:top w:w="0" w:type="dxa"/>
            <w:left w:w="108" w:type="dxa"/>
            <w:bottom w:w="0" w:type="dxa"/>
            <w:right w:w="108" w:type="dxa"/>
          </w:tblCellMar>
        </w:tblPrEx>
        <w:trPr>
          <w:trHeight w:val="284" w:hRule="atLeast"/>
          <w:jc w:val="center"/>
        </w:trPr>
        <w:tc>
          <w:tcPr>
            <w:tcW w:w="2235"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黑体"/>
                <w:bCs/>
                <w:sz w:val="20"/>
                <w:szCs w:val="20"/>
              </w:rPr>
            </w:pPr>
            <w:r>
              <w:rPr>
                <w:rFonts w:hint="eastAsia" w:ascii="Arial" w:hAnsi="Arial" w:eastAsia="宋体" w:cs="黑体"/>
                <w:kern w:val="0"/>
                <w:sz w:val="20"/>
                <w:szCs w:val="20"/>
                <w:lang w:bidi="ar"/>
              </w:rPr>
              <w:t>升学</w:t>
            </w:r>
          </w:p>
        </w:tc>
        <w:tc>
          <w:tcPr>
            <w:tcW w:w="99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15</w:t>
            </w:r>
          </w:p>
        </w:tc>
        <w:tc>
          <w:tcPr>
            <w:tcW w:w="99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0.48%</w:t>
            </w:r>
          </w:p>
        </w:tc>
        <w:tc>
          <w:tcPr>
            <w:tcW w:w="99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190</w:t>
            </w:r>
          </w:p>
        </w:tc>
        <w:tc>
          <w:tcPr>
            <w:tcW w:w="993"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27.42%</w:t>
            </w:r>
          </w:p>
        </w:tc>
        <w:tc>
          <w:tcPr>
            <w:tcW w:w="99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205</w:t>
            </w:r>
          </w:p>
        </w:tc>
        <w:tc>
          <w:tcPr>
            <w:tcW w:w="99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5.40%</w:t>
            </w:r>
          </w:p>
        </w:tc>
      </w:tr>
      <w:tr>
        <w:tblPrEx>
          <w:tblLayout w:type="fixed"/>
          <w:tblCellMar>
            <w:top w:w="0" w:type="dxa"/>
            <w:left w:w="108" w:type="dxa"/>
            <w:bottom w:w="0" w:type="dxa"/>
            <w:right w:w="108" w:type="dxa"/>
          </w:tblCellMar>
        </w:tblPrEx>
        <w:trPr>
          <w:trHeight w:val="284" w:hRule="atLeast"/>
          <w:jc w:val="center"/>
        </w:trPr>
        <w:tc>
          <w:tcPr>
            <w:tcW w:w="2235"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黑体"/>
                <w:kern w:val="0"/>
                <w:sz w:val="20"/>
                <w:szCs w:val="20"/>
                <w:lang w:bidi="ar"/>
              </w:rPr>
            </w:pPr>
            <w:r>
              <w:rPr>
                <w:rFonts w:hint="eastAsia" w:ascii="Arial" w:hAnsi="Arial" w:eastAsia="宋体" w:cs="黑体"/>
                <w:kern w:val="0"/>
                <w:sz w:val="20"/>
                <w:szCs w:val="20"/>
                <w:lang w:bidi="ar"/>
              </w:rPr>
              <w:t>创业</w:t>
            </w:r>
          </w:p>
        </w:tc>
        <w:tc>
          <w:tcPr>
            <w:tcW w:w="99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139</w:t>
            </w:r>
          </w:p>
        </w:tc>
        <w:tc>
          <w:tcPr>
            <w:tcW w:w="99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4.48%</w:t>
            </w:r>
          </w:p>
        </w:tc>
        <w:tc>
          <w:tcPr>
            <w:tcW w:w="99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59</w:t>
            </w:r>
          </w:p>
        </w:tc>
        <w:tc>
          <w:tcPr>
            <w:tcW w:w="993"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8.51%</w:t>
            </w:r>
          </w:p>
        </w:tc>
        <w:tc>
          <w:tcPr>
            <w:tcW w:w="99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198</w:t>
            </w:r>
          </w:p>
        </w:tc>
        <w:tc>
          <w:tcPr>
            <w:tcW w:w="99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5.22%</w:t>
            </w:r>
          </w:p>
        </w:tc>
      </w:tr>
      <w:tr>
        <w:tblPrEx>
          <w:tblLayout w:type="fixed"/>
          <w:tblCellMar>
            <w:top w:w="0" w:type="dxa"/>
            <w:left w:w="108" w:type="dxa"/>
            <w:bottom w:w="0" w:type="dxa"/>
            <w:right w:w="108" w:type="dxa"/>
          </w:tblCellMar>
        </w:tblPrEx>
        <w:trPr>
          <w:trHeight w:val="284" w:hRule="atLeast"/>
          <w:jc w:val="center"/>
        </w:trPr>
        <w:tc>
          <w:tcPr>
            <w:tcW w:w="2235"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黑体"/>
                <w:bCs/>
                <w:sz w:val="20"/>
                <w:szCs w:val="20"/>
              </w:rPr>
            </w:pPr>
            <w:r>
              <w:rPr>
                <w:rFonts w:hint="eastAsia" w:ascii="Arial" w:hAnsi="Arial" w:eastAsia="宋体" w:cs="黑体"/>
                <w:kern w:val="0"/>
                <w:sz w:val="20"/>
                <w:szCs w:val="20"/>
                <w:lang w:bidi="ar"/>
              </w:rPr>
              <w:t>未就业</w:t>
            </w:r>
          </w:p>
        </w:tc>
        <w:tc>
          <w:tcPr>
            <w:tcW w:w="99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148</w:t>
            </w:r>
          </w:p>
        </w:tc>
        <w:tc>
          <w:tcPr>
            <w:tcW w:w="99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4.77%</w:t>
            </w:r>
          </w:p>
        </w:tc>
        <w:tc>
          <w:tcPr>
            <w:tcW w:w="99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96</w:t>
            </w:r>
          </w:p>
        </w:tc>
        <w:tc>
          <w:tcPr>
            <w:tcW w:w="993"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13.85%</w:t>
            </w:r>
          </w:p>
        </w:tc>
        <w:tc>
          <w:tcPr>
            <w:tcW w:w="99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244</w:t>
            </w:r>
          </w:p>
        </w:tc>
        <w:tc>
          <w:tcPr>
            <w:tcW w:w="992"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6.43%</w:t>
            </w:r>
          </w:p>
        </w:tc>
      </w:tr>
      <w:tr>
        <w:tblPrEx>
          <w:tblLayout w:type="fixed"/>
          <w:tblCellMar>
            <w:top w:w="0" w:type="dxa"/>
            <w:left w:w="108" w:type="dxa"/>
            <w:bottom w:w="0" w:type="dxa"/>
            <w:right w:w="108" w:type="dxa"/>
          </w:tblCellMar>
        </w:tblPrEx>
        <w:trPr>
          <w:trHeight w:val="284" w:hRule="atLeast"/>
          <w:jc w:val="center"/>
        </w:trPr>
        <w:tc>
          <w:tcPr>
            <w:tcW w:w="2235"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黑体"/>
                <w:b/>
                <w:kern w:val="0"/>
                <w:sz w:val="20"/>
                <w:szCs w:val="20"/>
                <w:lang w:bidi="ar"/>
              </w:rPr>
            </w:pPr>
            <w:r>
              <w:rPr>
                <w:rFonts w:hint="eastAsia" w:ascii="Arial" w:hAnsi="Arial" w:eastAsia="宋体" w:cs="黑体"/>
                <w:b/>
                <w:kern w:val="0"/>
                <w:sz w:val="20"/>
                <w:szCs w:val="20"/>
                <w:lang w:bidi="ar"/>
              </w:rPr>
              <w:t>总计</w:t>
            </w:r>
          </w:p>
        </w:tc>
        <w:tc>
          <w:tcPr>
            <w:tcW w:w="99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b/>
                <w:bCs/>
                <w:sz w:val="20"/>
                <w:szCs w:val="20"/>
              </w:rPr>
            </w:pPr>
            <w:r>
              <w:rPr>
                <w:rFonts w:ascii="Arial" w:hAnsi="Arial" w:eastAsia="宋体" w:cs="Arial"/>
                <w:b/>
                <w:kern w:val="0"/>
                <w:sz w:val="20"/>
                <w:szCs w:val="20"/>
                <w:lang w:bidi="ar"/>
              </w:rPr>
              <w:t>3100</w:t>
            </w:r>
          </w:p>
        </w:tc>
        <w:tc>
          <w:tcPr>
            <w:tcW w:w="992" w:type="dxa"/>
            <w:tcBorders>
              <w:top w:val="single" w:color="4BACC6" w:sz="8" w:space="0"/>
              <w:left w:val="single" w:color="4BACC6" w:sz="8" w:space="0"/>
              <w:bottom w:val="single" w:color="4BACC6" w:sz="8" w:space="0"/>
              <w:right w:val="single" w:color="4BACC6" w:sz="8" w:space="0"/>
            </w:tcBorders>
            <w:shd w:val="clear" w:color="auto" w:fill="B7DDE8"/>
            <w:vAlign w:val="bottom"/>
          </w:tcPr>
          <w:p>
            <w:pPr>
              <w:jc w:val="center"/>
              <w:rPr>
                <w:rFonts w:ascii="Arial" w:hAnsi="Arial" w:eastAsia="宋体" w:cs="Arial"/>
                <w:b/>
                <w:bCs/>
                <w:sz w:val="20"/>
                <w:szCs w:val="20"/>
              </w:rPr>
            </w:pPr>
          </w:p>
        </w:tc>
        <w:tc>
          <w:tcPr>
            <w:tcW w:w="99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b/>
                <w:bCs/>
                <w:sz w:val="20"/>
                <w:szCs w:val="20"/>
              </w:rPr>
            </w:pPr>
            <w:r>
              <w:rPr>
                <w:rFonts w:ascii="Arial" w:hAnsi="Arial" w:eastAsia="宋体" w:cs="Arial"/>
                <w:b/>
                <w:kern w:val="0"/>
                <w:sz w:val="20"/>
                <w:szCs w:val="20"/>
                <w:lang w:bidi="ar"/>
              </w:rPr>
              <w:t>693</w:t>
            </w:r>
          </w:p>
        </w:tc>
        <w:tc>
          <w:tcPr>
            <w:tcW w:w="993" w:type="dxa"/>
            <w:tcBorders>
              <w:top w:val="single" w:color="4BACC6" w:sz="8" w:space="0"/>
              <w:left w:val="single" w:color="4BACC6" w:sz="8" w:space="0"/>
              <w:bottom w:val="single" w:color="4BACC6" w:sz="8" w:space="0"/>
              <w:right w:val="single" w:color="4BACC6" w:sz="8" w:space="0"/>
            </w:tcBorders>
            <w:shd w:val="clear" w:color="auto" w:fill="B7DDE8"/>
            <w:vAlign w:val="bottom"/>
          </w:tcPr>
          <w:p>
            <w:pPr>
              <w:jc w:val="center"/>
              <w:rPr>
                <w:rFonts w:ascii="Arial" w:hAnsi="Arial" w:eastAsia="宋体" w:cs="Arial"/>
                <w:b/>
                <w:bCs/>
                <w:sz w:val="20"/>
                <w:szCs w:val="20"/>
              </w:rPr>
            </w:pPr>
          </w:p>
        </w:tc>
        <w:tc>
          <w:tcPr>
            <w:tcW w:w="992"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3793</w:t>
            </w:r>
          </w:p>
        </w:tc>
        <w:tc>
          <w:tcPr>
            <w:tcW w:w="992" w:type="dxa"/>
            <w:tcBorders>
              <w:top w:val="single" w:color="4BACC6" w:sz="8" w:space="0"/>
              <w:left w:val="single" w:color="4BACC6" w:sz="8" w:space="0"/>
              <w:bottom w:val="single" w:color="4BACC6" w:sz="8" w:space="0"/>
              <w:right w:val="single" w:color="4BACC6" w:sz="8" w:space="0"/>
            </w:tcBorders>
            <w:shd w:val="clear" w:color="auto" w:fill="B7DDE8"/>
            <w:vAlign w:val="center"/>
          </w:tcPr>
          <w:p>
            <w:pPr>
              <w:rPr>
                <w:rFonts w:ascii="Arial" w:hAnsi="Arial" w:eastAsia="宋体" w:cs="Arial"/>
                <w:b/>
                <w:bCs/>
                <w:sz w:val="20"/>
                <w:szCs w:val="20"/>
              </w:rPr>
            </w:pPr>
          </w:p>
        </w:tc>
      </w:tr>
    </w:tbl>
    <w:p>
      <w:pPr>
        <w:pStyle w:val="33"/>
        <w:spacing w:before="180" w:after="180" w:afterLines="0" w:line="360" w:lineRule="auto"/>
        <w:ind w:firstLine="482" w:firstLineChars="200"/>
        <w:outlineLvl w:val="2"/>
        <w:rPr>
          <w:rFonts w:ascii="Times New Roman" w:hAnsi="Times New Roman" w:eastAsia="宋体"/>
          <w:sz w:val="24"/>
          <w:szCs w:val="24"/>
        </w:rPr>
      </w:pPr>
      <w:bookmarkStart w:id="74" w:name="_Toc501407790"/>
      <w:bookmarkStart w:id="75" w:name="_Toc429218584"/>
      <w:bookmarkStart w:id="76" w:name="_Toc430099486"/>
      <w:r>
        <w:rPr>
          <w:rFonts w:hint="eastAsia" w:ascii="Times New Roman" w:hAnsi="Times New Roman" w:eastAsia="宋体"/>
          <w:sz w:val="24"/>
          <w:szCs w:val="24"/>
        </w:rPr>
        <w:t>4．未就业原因分析</w:t>
      </w:r>
      <w:bookmarkEnd w:id="74"/>
      <w:bookmarkEnd w:id="75"/>
      <w:bookmarkEnd w:id="76"/>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对调查中反馈毕业去向为“其他暂不就业”和“待就业”的毕业生了解其从未就业的原因：50.33%的毕业生“未找到满意的工作”；17.00%的毕业生“在准备出国”；14.36%的毕业生“在准备职业资格考试或参加学习培训”；13.48%的毕业生“在转换工作中”。</w:t>
      </w:r>
    </w:p>
    <w:p>
      <w:pPr>
        <w:pStyle w:val="32"/>
        <w:spacing w:before="156" w:afterLines="0" w:line="240" w:lineRule="auto"/>
        <w:ind w:firstLine="0" w:firstLineChars="0"/>
        <w:jc w:val="center"/>
        <w:rPr>
          <w:rFonts w:ascii="黑体" w:hAnsi="黑体" w:eastAsia="黑体"/>
          <w:b/>
          <w:color w:val="auto"/>
          <w:sz w:val="21"/>
          <w:szCs w:val="21"/>
        </w:rPr>
      </w:pPr>
      <w:r>
        <w:rPr>
          <w:color w:val="auto"/>
        </w:rPr>
        <w:drawing>
          <wp:inline distT="0" distB="0" distL="0" distR="0">
            <wp:extent cx="3362960" cy="2243455"/>
            <wp:effectExtent l="0" t="0" r="8890" b="4445"/>
            <wp:docPr id="267" name="图片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267"/>
                    <pic:cNvPicPr>
                      <a:picLocks noChangeAspect="1"/>
                    </pic:cNvPicPr>
                  </pic:nvPicPr>
                  <pic:blipFill>
                    <a:blip r:embed="rId13"/>
                    <a:stretch>
                      <a:fillRect/>
                    </a:stretch>
                  </pic:blipFill>
                  <pic:spPr>
                    <a:xfrm>
                      <a:off x="0" y="0"/>
                      <a:ext cx="3362960" cy="2243455"/>
                    </a:xfrm>
                    <a:prstGeom prst="rect">
                      <a:avLst/>
                    </a:prstGeom>
                  </pic:spPr>
                </pic:pic>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图1-5 2017届毕业生未就业原因分析</w:t>
      </w:r>
    </w:p>
    <w:p>
      <w:pPr>
        <w:pStyle w:val="4"/>
        <w:autoSpaceDE w:val="0"/>
        <w:spacing w:beforeLines="0" w:afterLines="0" w:line="312" w:lineRule="auto"/>
        <w:ind w:firstLine="0" w:firstLineChars="0"/>
        <w:jc w:val="both"/>
        <w:rPr>
          <w:rFonts w:eastAsia="黑体"/>
          <w:bCs w:val="0"/>
          <w:snapToGrid/>
          <w:sz w:val="28"/>
          <w:szCs w:val="28"/>
        </w:rPr>
      </w:pPr>
      <w:bookmarkStart w:id="77" w:name="_Toc501407791"/>
      <w:r>
        <w:rPr>
          <w:rFonts w:hint="eastAsia" w:eastAsia="黑体"/>
          <w:bCs w:val="0"/>
          <w:snapToGrid/>
          <w:sz w:val="28"/>
          <w:szCs w:val="28"/>
        </w:rPr>
        <w:t>（二）2017届分层次分学院/专业毕业生的就业率及毕业去向</w:t>
      </w:r>
      <w:bookmarkEnd w:id="77"/>
    </w:p>
    <w:p>
      <w:pPr>
        <w:pStyle w:val="33"/>
        <w:spacing w:before="180" w:after="180" w:afterLines="0" w:line="360" w:lineRule="auto"/>
        <w:ind w:firstLine="482" w:firstLineChars="200"/>
        <w:outlineLvl w:val="2"/>
        <w:rPr>
          <w:rFonts w:ascii="Times New Roman" w:hAnsi="Times New Roman" w:eastAsia="宋体"/>
          <w:sz w:val="24"/>
          <w:szCs w:val="24"/>
        </w:rPr>
      </w:pPr>
      <w:bookmarkStart w:id="78" w:name="_Toc430099488"/>
      <w:bookmarkStart w:id="79" w:name="_Toc429218587"/>
      <w:bookmarkStart w:id="80" w:name="_Toc501407792"/>
      <w:r>
        <w:rPr>
          <w:rFonts w:hint="eastAsia" w:ascii="Times New Roman" w:hAnsi="Times New Roman" w:eastAsia="宋体"/>
          <w:sz w:val="24"/>
          <w:szCs w:val="24"/>
        </w:rPr>
        <w:t>1．2017届</w:t>
      </w:r>
      <w:bookmarkEnd w:id="78"/>
      <w:bookmarkEnd w:id="79"/>
      <w:r>
        <w:rPr>
          <w:rFonts w:hint="eastAsia" w:ascii="Times New Roman" w:hAnsi="Times New Roman" w:eastAsia="宋体"/>
          <w:sz w:val="24"/>
          <w:szCs w:val="24"/>
        </w:rPr>
        <w:t>分学院/专业本科毕业生就业率及毕业去向</w:t>
      </w:r>
      <w:bookmarkEnd w:id="80"/>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2017届本科毕业生平均就业率达到了95.23%，其中计算机科学与技术、视觉传达设计等专业达到了100%，实现了充分就业。</w:t>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表1-10 2017届分学院/专业本科毕业生就业率及毕业去向</w:t>
      </w:r>
    </w:p>
    <w:tbl>
      <w:tblPr>
        <w:tblStyle w:val="26"/>
        <w:tblW w:w="8611" w:type="dxa"/>
        <w:jc w:val="center"/>
        <w:tblInd w:w="0" w:type="dxa"/>
        <w:tblLayout w:type="fixed"/>
        <w:tblCellMar>
          <w:top w:w="15" w:type="dxa"/>
          <w:left w:w="108" w:type="dxa"/>
          <w:bottom w:w="15" w:type="dxa"/>
          <w:right w:w="108" w:type="dxa"/>
        </w:tblCellMar>
      </w:tblPr>
      <w:tblGrid>
        <w:gridCol w:w="1004"/>
        <w:gridCol w:w="1559"/>
        <w:gridCol w:w="567"/>
        <w:gridCol w:w="806"/>
        <w:gridCol w:w="850"/>
        <w:gridCol w:w="849"/>
        <w:gridCol w:w="566"/>
        <w:gridCol w:w="567"/>
        <w:gridCol w:w="850"/>
        <w:gridCol w:w="993"/>
      </w:tblGrid>
      <w:tr>
        <w:tblPrEx>
          <w:tblLayout w:type="fixed"/>
          <w:tblCellMar>
            <w:top w:w="15" w:type="dxa"/>
            <w:left w:w="108" w:type="dxa"/>
            <w:bottom w:w="15" w:type="dxa"/>
            <w:right w:w="108" w:type="dxa"/>
          </w:tblCellMar>
        </w:tblPrEx>
        <w:trPr>
          <w:trHeight w:val="720" w:hRule="atLeast"/>
          <w:jc w:val="center"/>
        </w:trPr>
        <w:tc>
          <w:tcPr>
            <w:tcW w:w="1004" w:type="dxa"/>
            <w:tcBorders>
              <w:top w:val="single" w:color="4BACC6" w:sz="8" w:space="0"/>
              <w:left w:val="single" w:color="4BACC6" w:sz="8" w:space="0"/>
              <w:bottom w:val="single" w:color="FFFFFF" w:sz="4" w:space="0"/>
              <w:right w:val="single" w:color="4BACC6" w:sz="8" w:space="0"/>
            </w:tcBorders>
            <w:shd w:val="clear" w:color="auto" w:fill="4BACC6"/>
            <w:tcMar>
              <w:left w:w="57" w:type="dxa"/>
              <w:right w:w="57" w:type="dxa"/>
            </w:tcMar>
            <w:vAlign w:val="center"/>
          </w:tcPr>
          <w:p>
            <w:pPr>
              <w:widowControl/>
              <w:jc w:val="center"/>
              <w:rPr>
                <w:rFonts w:ascii="Arial" w:hAnsi="Arial" w:eastAsia="宋体" w:cs="Arial"/>
                <w:b/>
                <w:bCs/>
                <w:kern w:val="0"/>
                <w:sz w:val="20"/>
                <w:szCs w:val="20"/>
              </w:rPr>
            </w:pPr>
            <w:r>
              <w:rPr>
                <w:rFonts w:hint="eastAsia" w:ascii="Arial" w:hAnsi="Arial" w:eastAsia="宋体" w:cs="Arial"/>
                <w:b/>
                <w:bCs/>
                <w:kern w:val="0"/>
                <w:sz w:val="20"/>
                <w:szCs w:val="20"/>
              </w:rPr>
              <w:t>学院</w:t>
            </w:r>
          </w:p>
        </w:tc>
        <w:tc>
          <w:tcPr>
            <w:tcW w:w="1559" w:type="dxa"/>
            <w:tcBorders>
              <w:top w:val="single" w:color="4BACC6" w:sz="8" w:space="0"/>
              <w:left w:val="single" w:color="4BACC6" w:sz="8" w:space="0"/>
              <w:bottom w:val="single" w:color="FFFFFF" w:sz="4" w:space="0"/>
              <w:right w:val="single" w:color="4BACC6" w:sz="8" w:space="0"/>
            </w:tcBorders>
            <w:shd w:val="clear" w:color="auto" w:fill="4BACC6"/>
            <w:tcMar>
              <w:left w:w="57" w:type="dxa"/>
              <w:right w:w="57" w:type="dxa"/>
            </w:tcMar>
            <w:vAlign w:val="center"/>
          </w:tcPr>
          <w:p>
            <w:pPr>
              <w:widowControl/>
              <w:jc w:val="center"/>
              <w:rPr>
                <w:rFonts w:ascii="Arial" w:hAnsi="Arial" w:eastAsia="宋体" w:cs="Arial"/>
                <w:b/>
                <w:bCs/>
                <w:kern w:val="0"/>
                <w:sz w:val="20"/>
                <w:szCs w:val="20"/>
              </w:rPr>
            </w:pPr>
            <w:r>
              <w:rPr>
                <w:rFonts w:hint="eastAsia" w:ascii="Arial" w:hAnsi="Arial" w:eastAsia="宋体" w:cs="Arial"/>
                <w:b/>
                <w:bCs/>
                <w:kern w:val="0"/>
                <w:sz w:val="20"/>
                <w:szCs w:val="20"/>
              </w:rPr>
              <w:t>专业</w:t>
            </w:r>
          </w:p>
        </w:tc>
        <w:tc>
          <w:tcPr>
            <w:tcW w:w="567" w:type="dxa"/>
            <w:tcBorders>
              <w:top w:val="single" w:color="4BACC6" w:sz="8" w:space="0"/>
              <w:left w:val="single" w:color="4BACC6" w:sz="8" w:space="0"/>
              <w:bottom w:val="single" w:color="FFFFFF" w:sz="4" w:space="0"/>
              <w:right w:val="single" w:color="4BACC6" w:sz="8" w:space="0"/>
            </w:tcBorders>
            <w:shd w:val="clear" w:color="auto" w:fill="4BACC6"/>
            <w:tcMar>
              <w:left w:w="57" w:type="dxa"/>
              <w:right w:w="57" w:type="dxa"/>
            </w:tcMar>
            <w:vAlign w:val="center"/>
          </w:tcPr>
          <w:p>
            <w:pPr>
              <w:widowControl/>
              <w:jc w:val="center"/>
              <w:rPr>
                <w:rFonts w:ascii="Arial" w:hAnsi="Arial" w:eastAsia="宋体" w:cs="Arial"/>
                <w:b/>
                <w:bCs/>
                <w:kern w:val="0"/>
                <w:sz w:val="20"/>
                <w:szCs w:val="20"/>
              </w:rPr>
            </w:pPr>
            <w:r>
              <w:rPr>
                <w:rFonts w:hint="eastAsia" w:ascii="Arial" w:hAnsi="Arial" w:eastAsia="宋体" w:cs="Arial"/>
                <w:b/>
                <w:bCs/>
                <w:kern w:val="0"/>
                <w:sz w:val="20"/>
                <w:szCs w:val="20"/>
              </w:rPr>
              <w:t>专业</w:t>
            </w:r>
          </w:p>
          <w:p>
            <w:pPr>
              <w:widowControl/>
              <w:jc w:val="center"/>
              <w:rPr>
                <w:rFonts w:ascii="Arial" w:hAnsi="Arial" w:eastAsia="宋体" w:cs="Arial"/>
                <w:b/>
                <w:bCs/>
                <w:kern w:val="0"/>
                <w:sz w:val="20"/>
                <w:szCs w:val="20"/>
              </w:rPr>
            </w:pPr>
            <w:r>
              <w:rPr>
                <w:rFonts w:hint="eastAsia" w:ascii="Arial" w:hAnsi="Arial" w:eastAsia="宋体" w:cs="Arial"/>
                <w:b/>
                <w:bCs/>
                <w:kern w:val="0"/>
                <w:sz w:val="20"/>
                <w:szCs w:val="20"/>
              </w:rPr>
              <w:t>人数</w:t>
            </w:r>
          </w:p>
        </w:tc>
        <w:tc>
          <w:tcPr>
            <w:tcW w:w="806" w:type="dxa"/>
            <w:tcBorders>
              <w:top w:val="single" w:color="4BACC6" w:sz="8" w:space="0"/>
              <w:left w:val="single" w:color="4BACC6" w:sz="8" w:space="0"/>
              <w:bottom w:val="single" w:color="FFFFFF" w:sz="4" w:space="0"/>
              <w:right w:val="single" w:color="4BACC6" w:sz="8" w:space="0"/>
            </w:tcBorders>
            <w:shd w:val="clear" w:color="auto" w:fill="4BACC6"/>
            <w:tcMar>
              <w:left w:w="57" w:type="dxa"/>
              <w:right w:w="57" w:type="dxa"/>
            </w:tcMar>
            <w:vAlign w:val="center"/>
          </w:tcPr>
          <w:p>
            <w:pPr>
              <w:widowControl/>
              <w:jc w:val="center"/>
              <w:rPr>
                <w:rFonts w:ascii="Arial" w:hAnsi="Arial" w:eastAsia="宋体" w:cs="Arial"/>
                <w:b/>
                <w:bCs/>
                <w:kern w:val="0"/>
                <w:sz w:val="20"/>
                <w:szCs w:val="20"/>
              </w:rPr>
            </w:pPr>
            <w:r>
              <w:rPr>
                <w:rFonts w:hint="eastAsia" w:ascii="Arial" w:hAnsi="Arial" w:eastAsia="宋体" w:cs="Arial"/>
                <w:b/>
                <w:bCs/>
                <w:kern w:val="0"/>
                <w:sz w:val="20"/>
                <w:szCs w:val="20"/>
              </w:rPr>
              <w:t>签就业协议形式就业</w:t>
            </w:r>
          </w:p>
        </w:tc>
        <w:tc>
          <w:tcPr>
            <w:tcW w:w="850" w:type="dxa"/>
            <w:tcBorders>
              <w:top w:val="single" w:color="4BACC6" w:sz="8" w:space="0"/>
              <w:left w:val="single" w:color="4BACC6" w:sz="8" w:space="0"/>
              <w:bottom w:val="single" w:color="FFFFFF" w:sz="4" w:space="0"/>
              <w:right w:val="single" w:color="4BACC6" w:sz="8" w:space="0"/>
            </w:tcBorders>
            <w:shd w:val="clear" w:color="auto" w:fill="4BACC6"/>
            <w:tcMar>
              <w:left w:w="57" w:type="dxa"/>
              <w:right w:w="57" w:type="dxa"/>
            </w:tcMar>
            <w:vAlign w:val="center"/>
          </w:tcPr>
          <w:p>
            <w:pPr>
              <w:widowControl/>
              <w:jc w:val="center"/>
              <w:rPr>
                <w:rFonts w:ascii="Arial" w:hAnsi="Arial" w:eastAsia="宋体" w:cs="Arial"/>
                <w:b/>
                <w:bCs/>
                <w:kern w:val="0"/>
                <w:sz w:val="20"/>
                <w:szCs w:val="20"/>
              </w:rPr>
            </w:pPr>
            <w:r>
              <w:rPr>
                <w:rFonts w:hint="eastAsia" w:ascii="Arial" w:hAnsi="Arial" w:eastAsia="宋体" w:cs="Arial"/>
                <w:b/>
                <w:bCs/>
                <w:kern w:val="0"/>
                <w:sz w:val="20"/>
                <w:szCs w:val="20"/>
              </w:rPr>
              <w:t>签劳动合同形式就业</w:t>
            </w:r>
          </w:p>
        </w:tc>
        <w:tc>
          <w:tcPr>
            <w:tcW w:w="849" w:type="dxa"/>
            <w:tcBorders>
              <w:top w:val="single" w:color="4BACC6" w:sz="8" w:space="0"/>
              <w:left w:val="single" w:color="4BACC6" w:sz="8" w:space="0"/>
              <w:bottom w:val="single" w:color="FFFFFF" w:sz="4" w:space="0"/>
              <w:right w:val="single" w:color="4BACC6" w:sz="8" w:space="0"/>
            </w:tcBorders>
            <w:shd w:val="clear" w:color="auto" w:fill="4BACC6"/>
            <w:tcMar>
              <w:left w:w="57" w:type="dxa"/>
              <w:right w:w="57" w:type="dxa"/>
            </w:tcMar>
            <w:vAlign w:val="center"/>
          </w:tcPr>
          <w:p>
            <w:pPr>
              <w:widowControl/>
              <w:jc w:val="center"/>
              <w:rPr>
                <w:rFonts w:ascii="Arial" w:hAnsi="Arial" w:eastAsia="宋体" w:cs="Arial"/>
                <w:b/>
                <w:bCs/>
                <w:kern w:val="0"/>
                <w:sz w:val="20"/>
                <w:szCs w:val="20"/>
              </w:rPr>
            </w:pPr>
            <w:r>
              <w:rPr>
                <w:rFonts w:hint="eastAsia" w:ascii="Arial" w:hAnsi="Arial" w:eastAsia="宋体" w:cs="Arial"/>
                <w:b/>
                <w:bCs/>
                <w:kern w:val="0"/>
                <w:sz w:val="20"/>
                <w:szCs w:val="20"/>
              </w:rPr>
              <w:t>其他录用形式就业</w:t>
            </w:r>
          </w:p>
        </w:tc>
        <w:tc>
          <w:tcPr>
            <w:tcW w:w="566" w:type="dxa"/>
            <w:tcBorders>
              <w:top w:val="single" w:color="4BACC6" w:sz="8" w:space="0"/>
              <w:left w:val="single" w:color="4BACC6" w:sz="8" w:space="0"/>
              <w:bottom w:val="single" w:color="FFFFFF" w:sz="4" w:space="0"/>
              <w:right w:val="single" w:color="4BACC6" w:sz="8" w:space="0"/>
            </w:tcBorders>
            <w:shd w:val="clear" w:color="auto" w:fill="4BACC6"/>
            <w:tcMar>
              <w:left w:w="57" w:type="dxa"/>
              <w:right w:w="57" w:type="dxa"/>
            </w:tcMar>
            <w:vAlign w:val="center"/>
          </w:tcPr>
          <w:p>
            <w:pPr>
              <w:widowControl/>
              <w:jc w:val="center"/>
              <w:rPr>
                <w:rFonts w:ascii="Arial" w:hAnsi="Arial" w:eastAsia="宋体" w:cs="Arial"/>
                <w:b/>
                <w:bCs/>
                <w:kern w:val="0"/>
                <w:sz w:val="20"/>
                <w:szCs w:val="20"/>
              </w:rPr>
            </w:pPr>
            <w:r>
              <w:rPr>
                <w:rFonts w:hint="eastAsia" w:ascii="Arial" w:hAnsi="Arial" w:eastAsia="宋体" w:cs="Arial"/>
                <w:b/>
                <w:bCs/>
                <w:kern w:val="0"/>
                <w:sz w:val="20"/>
                <w:szCs w:val="20"/>
              </w:rPr>
              <w:t>升学</w:t>
            </w:r>
          </w:p>
        </w:tc>
        <w:tc>
          <w:tcPr>
            <w:tcW w:w="567" w:type="dxa"/>
            <w:tcBorders>
              <w:top w:val="single" w:color="4BACC6" w:sz="8" w:space="0"/>
              <w:left w:val="single" w:color="4BACC6" w:sz="8" w:space="0"/>
              <w:bottom w:val="single" w:color="FFFFFF" w:sz="4" w:space="0"/>
              <w:right w:val="single" w:color="4BACC6" w:sz="8" w:space="0"/>
            </w:tcBorders>
            <w:shd w:val="clear" w:color="auto" w:fill="4BACC6"/>
            <w:tcMar>
              <w:left w:w="57" w:type="dxa"/>
              <w:right w:w="57" w:type="dxa"/>
            </w:tcMar>
            <w:vAlign w:val="center"/>
          </w:tcPr>
          <w:p>
            <w:pPr>
              <w:widowControl/>
              <w:jc w:val="center"/>
              <w:rPr>
                <w:rFonts w:ascii="Arial" w:hAnsi="Arial" w:eastAsia="宋体" w:cs="Arial"/>
                <w:b/>
                <w:bCs/>
                <w:kern w:val="0"/>
                <w:sz w:val="20"/>
                <w:szCs w:val="20"/>
              </w:rPr>
            </w:pPr>
            <w:r>
              <w:rPr>
                <w:rFonts w:hint="eastAsia" w:ascii="Arial" w:hAnsi="Arial" w:eastAsia="宋体" w:cs="Arial"/>
                <w:b/>
                <w:bCs/>
                <w:kern w:val="0"/>
                <w:sz w:val="20"/>
                <w:szCs w:val="20"/>
              </w:rPr>
              <w:t>创业</w:t>
            </w:r>
          </w:p>
        </w:tc>
        <w:tc>
          <w:tcPr>
            <w:tcW w:w="850" w:type="dxa"/>
            <w:tcBorders>
              <w:top w:val="single" w:color="4BACC6" w:sz="8" w:space="0"/>
              <w:left w:val="single" w:color="4BACC6" w:sz="8" w:space="0"/>
              <w:bottom w:val="single" w:color="FFFFFF" w:sz="4" w:space="0"/>
              <w:right w:val="single" w:color="4BACC6" w:sz="8" w:space="0"/>
            </w:tcBorders>
            <w:shd w:val="clear" w:color="auto" w:fill="4BACC6"/>
            <w:tcMar>
              <w:left w:w="57" w:type="dxa"/>
              <w:right w:w="57" w:type="dxa"/>
            </w:tcMar>
            <w:vAlign w:val="center"/>
          </w:tcPr>
          <w:p>
            <w:pPr>
              <w:widowControl/>
              <w:jc w:val="center"/>
              <w:rPr>
                <w:rFonts w:ascii="Arial" w:hAnsi="Arial" w:eastAsia="宋体" w:cs="Arial"/>
                <w:b/>
                <w:bCs/>
                <w:kern w:val="0"/>
                <w:sz w:val="20"/>
                <w:szCs w:val="20"/>
              </w:rPr>
            </w:pPr>
            <w:r>
              <w:rPr>
                <w:rFonts w:hint="eastAsia" w:ascii="Arial" w:hAnsi="Arial" w:eastAsia="宋体" w:cs="Arial"/>
                <w:b/>
                <w:bCs/>
                <w:kern w:val="0"/>
                <w:sz w:val="20"/>
                <w:szCs w:val="20"/>
              </w:rPr>
              <w:t>未就业</w:t>
            </w:r>
          </w:p>
        </w:tc>
        <w:tc>
          <w:tcPr>
            <w:tcW w:w="993" w:type="dxa"/>
            <w:tcBorders>
              <w:top w:val="single" w:color="4BACC6" w:sz="8" w:space="0"/>
              <w:left w:val="single" w:color="4BACC6" w:sz="8" w:space="0"/>
              <w:bottom w:val="single" w:color="FFFFFF" w:sz="4" w:space="0"/>
              <w:right w:val="single" w:color="4BACC6" w:sz="8" w:space="0"/>
            </w:tcBorders>
            <w:shd w:val="clear" w:color="auto" w:fill="4BACC6"/>
            <w:tcMar>
              <w:left w:w="57" w:type="dxa"/>
              <w:right w:w="57" w:type="dxa"/>
            </w:tcMar>
            <w:vAlign w:val="center"/>
          </w:tcPr>
          <w:p>
            <w:pPr>
              <w:widowControl/>
              <w:jc w:val="center"/>
              <w:rPr>
                <w:rFonts w:ascii="Arial" w:hAnsi="Arial" w:eastAsia="宋体" w:cs="Arial"/>
                <w:b/>
                <w:bCs/>
                <w:kern w:val="0"/>
                <w:sz w:val="20"/>
                <w:szCs w:val="20"/>
              </w:rPr>
            </w:pPr>
            <w:r>
              <w:rPr>
                <w:rFonts w:hint="eastAsia" w:ascii="Arial" w:hAnsi="Arial" w:eastAsia="宋体" w:cs="Arial"/>
                <w:b/>
                <w:bCs/>
                <w:kern w:val="0"/>
                <w:sz w:val="20"/>
                <w:szCs w:val="20"/>
              </w:rPr>
              <w:t>就业率</w:t>
            </w:r>
          </w:p>
        </w:tc>
      </w:tr>
      <w:tr>
        <w:tblPrEx>
          <w:tblLayout w:type="fixed"/>
          <w:tblCellMar>
            <w:top w:w="15" w:type="dxa"/>
            <w:left w:w="108" w:type="dxa"/>
            <w:bottom w:w="15" w:type="dxa"/>
            <w:right w:w="108" w:type="dxa"/>
          </w:tblCellMar>
        </w:tblPrEx>
        <w:trPr>
          <w:trHeight w:val="285" w:hRule="atLeast"/>
          <w:jc w:val="center"/>
        </w:trPr>
        <w:tc>
          <w:tcPr>
            <w:tcW w:w="1004" w:type="dxa"/>
            <w:vMerge w:val="restart"/>
            <w:tcBorders>
              <w:top w:val="single" w:color="FFFFFF" w:sz="4"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表演艺术学院</w:t>
            </w:r>
          </w:p>
        </w:tc>
        <w:tc>
          <w:tcPr>
            <w:tcW w:w="1559" w:type="dxa"/>
            <w:tcBorders>
              <w:top w:val="single" w:color="FFFFFF" w:sz="4"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表演</w:t>
            </w:r>
          </w:p>
        </w:tc>
        <w:tc>
          <w:tcPr>
            <w:tcW w:w="567" w:type="dxa"/>
            <w:tcBorders>
              <w:top w:val="single" w:color="FFFFFF" w:sz="4"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185</w:t>
            </w:r>
          </w:p>
        </w:tc>
        <w:tc>
          <w:tcPr>
            <w:tcW w:w="806" w:type="dxa"/>
            <w:tcBorders>
              <w:top w:val="single" w:color="FFFFFF" w:sz="4"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w:t>
            </w:r>
          </w:p>
        </w:tc>
        <w:tc>
          <w:tcPr>
            <w:tcW w:w="850" w:type="dxa"/>
            <w:tcBorders>
              <w:top w:val="single" w:color="FFFFFF" w:sz="4"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102</w:t>
            </w:r>
          </w:p>
        </w:tc>
        <w:tc>
          <w:tcPr>
            <w:tcW w:w="849" w:type="dxa"/>
            <w:tcBorders>
              <w:top w:val="single" w:color="FFFFFF" w:sz="4"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64</w:t>
            </w:r>
          </w:p>
        </w:tc>
        <w:tc>
          <w:tcPr>
            <w:tcW w:w="566" w:type="dxa"/>
            <w:tcBorders>
              <w:top w:val="single" w:color="FFFFFF" w:sz="4"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w:t>
            </w:r>
          </w:p>
        </w:tc>
        <w:tc>
          <w:tcPr>
            <w:tcW w:w="567" w:type="dxa"/>
            <w:tcBorders>
              <w:top w:val="single" w:color="FFFFFF" w:sz="4"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8</w:t>
            </w:r>
          </w:p>
        </w:tc>
        <w:tc>
          <w:tcPr>
            <w:tcW w:w="850" w:type="dxa"/>
            <w:tcBorders>
              <w:top w:val="single" w:color="FFFFFF" w:sz="4"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6</w:t>
            </w:r>
          </w:p>
        </w:tc>
        <w:tc>
          <w:tcPr>
            <w:tcW w:w="993" w:type="dxa"/>
            <w:tcBorders>
              <w:top w:val="single" w:color="FFFFFF" w:sz="4"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96.76%</w:t>
            </w:r>
          </w:p>
        </w:tc>
      </w:tr>
      <w:tr>
        <w:tblPrEx>
          <w:tblLayout w:type="fixed"/>
          <w:tblCellMar>
            <w:top w:w="15" w:type="dxa"/>
            <w:left w:w="108" w:type="dxa"/>
            <w:bottom w:w="15" w:type="dxa"/>
            <w:right w:w="108" w:type="dxa"/>
          </w:tblCellMar>
        </w:tblPrEx>
        <w:trPr>
          <w:trHeight w:val="285" w:hRule="atLeast"/>
          <w:jc w:val="center"/>
        </w:trPr>
        <w:tc>
          <w:tcPr>
            <w:tcW w:w="1004" w:type="dxa"/>
            <w:vMerge w:val="continue"/>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p>
        </w:tc>
        <w:tc>
          <w:tcPr>
            <w:tcW w:w="155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艺术与科技</w:t>
            </w: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w:t>
            </w:r>
          </w:p>
        </w:tc>
        <w:tc>
          <w:tcPr>
            <w:tcW w:w="80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w:t>
            </w:r>
          </w:p>
        </w:tc>
        <w:tc>
          <w:tcPr>
            <w:tcW w:w="84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993"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88.89%</w:t>
            </w:r>
          </w:p>
        </w:tc>
      </w:tr>
      <w:tr>
        <w:tblPrEx>
          <w:tblLayout w:type="fixed"/>
          <w:tblCellMar>
            <w:top w:w="15" w:type="dxa"/>
            <w:left w:w="108" w:type="dxa"/>
            <w:bottom w:w="15" w:type="dxa"/>
            <w:right w:w="108" w:type="dxa"/>
          </w:tblCellMar>
        </w:tblPrEx>
        <w:trPr>
          <w:trHeight w:val="285" w:hRule="atLeast"/>
          <w:jc w:val="center"/>
        </w:trPr>
        <w:tc>
          <w:tcPr>
            <w:tcW w:w="1004" w:type="dxa"/>
            <w:vMerge w:val="continue"/>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p>
        </w:tc>
        <w:tc>
          <w:tcPr>
            <w:tcW w:w="155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音乐表演</w:t>
            </w: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67</w:t>
            </w:r>
          </w:p>
        </w:tc>
        <w:tc>
          <w:tcPr>
            <w:tcW w:w="80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40</w:t>
            </w:r>
          </w:p>
        </w:tc>
        <w:tc>
          <w:tcPr>
            <w:tcW w:w="84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20</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4</w:t>
            </w:r>
          </w:p>
        </w:tc>
        <w:tc>
          <w:tcPr>
            <w:tcW w:w="993"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94.03%</w:t>
            </w:r>
          </w:p>
        </w:tc>
      </w:tr>
      <w:tr>
        <w:tblPrEx>
          <w:tblLayout w:type="fixed"/>
          <w:tblCellMar>
            <w:top w:w="15" w:type="dxa"/>
            <w:left w:w="108" w:type="dxa"/>
            <w:bottom w:w="15" w:type="dxa"/>
            <w:right w:w="108" w:type="dxa"/>
          </w:tblCellMar>
        </w:tblPrEx>
        <w:trPr>
          <w:trHeight w:val="285" w:hRule="atLeast"/>
          <w:jc w:val="center"/>
        </w:trPr>
        <w:tc>
          <w:tcPr>
            <w:tcW w:w="2563" w:type="dxa"/>
            <w:gridSpan w:val="2"/>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表演艺术学院总计</w:t>
            </w: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261</w:t>
            </w:r>
          </w:p>
        </w:tc>
        <w:tc>
          <w:tcPr>
            <w:tcW w:w="80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4</w:t>
            </w: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147</w:t>
            </w:r>
          </w:p>
        </w:tc>
        <w:tc>
          <w:tcPr>
            <w:tcW w:w="84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87</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w:t>
            </w: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w:t>
            </w: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11</w:t>
            </w:r>
          </w:p>
        </w:tc>
        <w:tc>
          <w:tcPr>
            <w:tcW w:w="993"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95.79%</w:t>
            </w:r>
          </w:p>
        </w:tc>
      </w:tr>
      <w:tr>
        <w:tblPrEx>
          <w:tblLayout w:type="fixed"/>
          <w:tblCellMar>
            <w:top w:w="15" w:type="dxa"/>
            <w:left w:w="108" w:type="dxa"/>
            <w:bottom w:w="15" w:type="dxa"/>
            <w:right w:w="108" w:type="dxa"/>
          </w:tblCellMar>
        </w:tblPrEx>
        <w:trPr>
          <w:trHeight w:val="285" w:hRule="atLeast"/>
          <w:jc w:val="center"/>
        </w:trPr>
        <w:tc>
          <w:tcPr>
            <w:tcW w:w="100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动画学院</w:t>
            </w:r>
          </w:p>
        </w:tc>
        <w:tc>
          <w:tcPr>
            <w:tcW w:w="155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动画</w:t>
            </w: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14</w:t>
            </w:r>
          </w:p>
        </w:tc>
        <w:tc>
          <w:tcPr>
            <w:tcW w:w="80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7</w:t>
            </w:r>
          </w:p>
        </w:tc>
        <w:tc>
          <w:tcPr>
            <w:tcW w:w="84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993"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92.86%</w:t>
            </w:r>
          </w:p>
        </w:tc>
      </w:tr>
      <w:tr>
        <w:tblPrEx>
          <w:tblLayout w:type="fixed"/>
          <w:tblCellMar>
            <w:top w:w="15" w:type="dxa"/>
            <w:left w:w="108" w:type="dxa"/>
            <w:bottom w:w="15" w:type="dxa"/>
            <w:right w:w="108" w:type="dxa"/>
          </w:tblCellMar>
        </w:tblPrEx>
        <w:trPr>
          <w:trHeight w:val="285" w:hRule="atLeast"/>
          <w:jc w:val="center"/>
        </w:trPr>
        <w:tc>
          <w:tcPr>
            <w:tcW w:w="2563" w:type="dxa"/>
            <w:gridSpan w:val="2"/>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动画学院总计</w:t>
            </w: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14</w:t>
            </w:r>
          </w:p>
        </w:tc>
        <w:tc>
          <w:tcPr>
            <w:tcW w:w="80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w:t>
            </w: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7</w:t>
            </w:r>
          </w:p>
        </w:tc>
        <w:tc>
          <w:tcPr>
            <w:tcW w:w="84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993"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92.86%</w:t>
            </w:r>
          </w:p>
        </w:tc>
      </w:tr>
      <w:tr>
        <w:tblPrEx>
          <w:tblLayout w:type="fixed"/>
          <w:tblCellMar>
            <w:top w:w="15" w:type="dxa"/>
            <w:left w:w="108" w:type="dxa"/>
            <w:bottom w:w="15" w:type="dxa"/>
            <w:right w:w="108" w:type="dxa"/>
          </w:tblCellMar>
        </w:tblPrEx>
        <w:trPr>
          <w:trHeight w:val="285" w:hRule="atLeast"/>
          <w:jc w:val="center"/>
        </w:trPr>
        <w:tc>
          <w:tcPr>
            <w:tcW w:w="1004" w:type="dxa"/>
            <w:vMerge w:val="restart"/>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国际传播学院</w:t>
            </w:r>
          </w:p>
        </w:tc>
        <w:tc>
          <w:tcPr>
            <w:tcW w:w="155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汉语国际教育</w:t>
            </w: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w:t>
            </w:r>
          </w:p>
        </w:tc>
        <w:tc>
          <w:tcPr>
            <w:tcW w:w="80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w:t>
            </w:r>
          </w:p>
        </w:tc>
        <w:tc>
          <w:tcPr>
            <w:tcW w:w="84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w:t>
            </w:r>
          </w:p>
        </w:tc>
        <w:tc>
          <w:tcPr>
            <w:tcW w:w="993"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80.00%</w:t>
            </w:r>
          </w:p>
        </w:tc>
      </w:tr>
      <w:tr>
        <w:tblPrEx>
          <w:tblLayout w:type="fixed"/>
          <w:tblCellMar>
            <w:top w:w="15" w:type="dxa"/>
            <w:left w:w="108" w:type="dxa"/>
            <w:bottom w:w="15" w:type="dxa"/>
            <w:right w:w="108" w:type="dxa"/>
          </w:tblCellMar>
        </w:tblPrEx>
        <w:trPr>
          <w:trHeight w:val="285" w:hRule="atLeast"/>
          <w:jc w:val="center"/>
        </w:trPr>
        <w:tc>
          <w:tcPr>
            <w:tcW w:w="1004" w:type="dxa"/>
            <w:vMerge w:val="continue"/>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p>
        </w:tc>
        <w:tc>
          <w:tcPr>
            <w:tcW w:w="155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汉语言文学</w:t>
            </w: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67</w:t>
            </w:r>
          </w:p>
        </w:tc>
        <w:tc>
          <w:tcPr>
            <w:tcW w:w="80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39</w:t>
            </w:r>
          </w:p>
        </w:tc>
        <w:tc>
          <w:tcPr>
            <w:tcW w:w="84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21</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w:t>
            </w: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w:t>
            </w:r>
          </w:p>
        </w:tc>
        <w:tc>
          <w:tcPr>
            <w:tcW w:w="993"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92.54%</w:t>
            </w:r>
          </w:p>
        </w:tc>
      </w:tr>
      <w:tr>
        <w:tblPrEx>
          <w:tblLayout w:type="fixed"/>
          <w:tblCellMar>
            <w:top w:w="15" w:type="dxa"/>
            <w:left w:w="108" w:type="dxa"/>
            <w:bottom w:w="15" w:type="dxa"/>
            <w:right w:w="108" w:type="dxa"/>
          </w:tblCellMar>
        </w:tblPrEx>
        <w:trPr>
          <w:trHeight w:val="285" w:hRule="atLeast"/>
          <w:jc w:val="center"/>
        </w:trPr>
        <w:tc>
          <w:tcPr>
            <w:tcW w:w="1004" w:type="dxa"/>
            <w:vMerge w:val="continue"/>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p>
        </w:tc>
        <w:tc>
          <w:tcPr>
            <w:tcW w:w="155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葡萄牙语</w:t>
            </w: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7</w:t>
            </w:r>
          </w:p>
        </w:tc>
        <w:tc>
          <w:tcPr>
            <w:tcW w:w="80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w:t>
            </w:r>
          </w:p>
        </w:tc>
        <w:tc>
          <w:tcPr>
            <w:tcW w:w="84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w:t>
            </w:r>
          </w:p>
        </w:tc>
        <w:tc>
          <w:tcPr>
            <w:tcW w:w="993"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57.14%</w:t>
            </w:r>
          </w:p>
        </w:tc>
      </w:tr>
      <w:tr>
        <w:tblPrEx>
          <w:tblLayout w:type="fixed"/>
          <w:tblCellMar>
            <w:top w:w="15" w:type="dxa"/>
            <w:left w:w="108" w:type="dxa"/>
            <w:bottom w:w="15" w:type="dxa"/>
            <w:right w:w="108" w:type="dxa"/>
          </w:tblCellMar>
        </w:tblPrEx>
        <w:trPr>
          <w:trHeight w:val="285" w:hRule="atLeast"/>
          <w:jc w:val="center"/>
        </w:trPr>
        <w:tc>
          <w:tcPr>
            <w:tcW w:w="1004" w:type="dxa"/>
            <w:vMerge w:val="continue"/>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p>
        </w:tc>
        <w:tc>
          <w:tcPr>
            <w:tcW w:w="155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西班牙语</w:t>
            </w: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13</w:t>
            </w:r>
          </w:p>
        </w:tc>
        <w:tc>
          <w:tcPr>
            <w:tcW w:w="80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8</w:t>
            </w:r>
          </w:p>
        </w:tc>
        <w:tc>
          <w:tcPr>
            <w:tcW w:w="84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993"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92.31%</w:t>
            </w:r>
          </w:p>
        </w:tc>
      </w:tr>
      <w:tr>
        <w:tblPrEx>
          <w:tblLayout w:type="fixed"/>
          <w:tblCellMar>
            <w:top w:w="15" w:type="dxa"/>
            <w:left w:w="108" w:type="dxa"/>
            <w:bottom w:w="15" w:type="dxa"/>
            <w:right w:w="108" w:type="dxa"/>
          </w:tblCellMar>
        </w:tblPrEx>
        <w:trPr>
          <w:trHeight w:val="285" w:hRule="atLeast"/>
          <w:jc w:val="center"/>
        </w:trPr>
        <w:tc>
          <w:tcPr>
            <w:tcW w:w="1004" w:type="dxa"/>
            <w:vMerge w:val="continue"/>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p>
        </w:tc>
        <w:tc>
          <w:tcPr>
            <w:tcW w:w="155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英语</w:t>
            </w: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29</w:t>
            </w:r>
          </w:p>
        </w:tc>
        <w:tc>
          <w:tcPr>
            <w:tcW w:w="80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18</w:t>
            </w:r>
          </w:p>
        </w:tc>
        <w:tc>
          <w:tcPr>
            <w:tcW w:w="84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7</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993"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96.55%</w:t>
            </w:r>
          </w:p>
        </w:tc>
      </w:tr>
      <w:tr>
        <w:tblPrEx>
          <w:tblLayout w:type="fixed"/>
          <w:tblCellMar>
            <w:top w:w="15" w:type="dxa"/>
            <w:left w:w="108" w:type="dxa"/>
            <w:bottom w:w="15" w:type="dxa"/>
            <w:right w:w="108" w:type="dxa"/>
          </w:tblCellMar>
        </w:tblPrEx>
        <w:trPr>
          <w:trHeight w:val="285" w:hRule="atLeast"/>
          <w:jc w:val="center"/>
        </w:trPr>
        <w:tc>
          <w:tcPr>
            <w:tcW w:w="2563" w:type="dxa"/>
            <w:gridSpan w:val="2"/>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国际传播学院总计</w:t>
            </w: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126</w:t>
            </w:r>
          </w:p>
        </w:tc>
        <w:tc>
          <w:tcPr>
            <w:tcW w:w="80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72</w:t>
            </w:r>
          </w:p>
        </w:tc>
        <w:tc>
          <w:tcPr>
            <w:tcW w:w="84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35</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6</w:t>
            </w: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12</w:t>
            </w:r>
          </w:p>
        </w:tc>
        <w:tc>
          <w:tcPr>
            <w:tcW w:w="993"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90.48%</w:t>
            </w:r>
          </w:p>
        </w:tc>
      </w:tr>
      <w:tr>
        <w:tblPrEx>
          <w:tblLayout w:type="fixed"/>
          <w:tblCellMar>
            <w:top w:w="15" w:type="dxa"/>
            <w:left w:w="108" w:type="dxa"/>
            <w:bottom w:w="15" w:type="dxa"/>
            <w:right w:w="108" w:type="dxa"/>
          </w:tblCellMar>
        </w:tblPrEx>
        <w:trPr>
          <w:trHeight w:val="285" w:hRule="atLeast"/>
          <w:jc w:val="center"/>
        </w:trPr>
        <w:tc>
          <w:tcPr>
            <w:tcW w:w="100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舞蹈艺术学院</w:t>
            </w:r>
          </w:p>
        </w:tc>
        <w:tc>
          <w:tcPr>
            <w:tcW w:w="155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舞蹈编导</w:t>
            </w: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32</w:t>
            </w:r>
          </w:p>
        </w:tc>
        <w:tc>
          <w:tcPr>
            <w:tcW w:w="80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20</w:t>
            </w:r>
          </w:p>
        </w:tc>
        <w:tc>
          <w:tcPr>
            <w:tcW w:w="84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8</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993"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96.88%</w:t>
            </w:r>
          </w:p>
        </w:tc>
      </w:tr>
      <w:tr>
        <w:tblPrEx>
          <w:tblLayout w:type="fixed"/>
          <w:tblCellMar>
            <w:top w:w="15" w:type="dxa"/>
            <w:left w:w="108" w:type="dxa"/>
            <w:bottom w:w="15" w:type="dxa"/>
            <w:right w:w="108" w:type="dxa"/>
          </w:tblCellMar>
        </w:tblPrEx>
        <w:trPr>
          <w:trHeight w:val="285" w:hRule="atLeast"/>
          <w:jc w:val="center"/>
        </w:trPr>
        <w:tc>
          <w:tcPr>
            <w:tcW w:w="2563" w:type="dxa"/>
            <w:gridSpan w:val="2"/>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舞蹈艺术学院总计</w:t>
            </w: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32</w:t>
            </w:r>
          </w:p>
        </w:tc>
        <w:tc>
          <w:tcPr>
            <w:tcW w:w="80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20</w:t>
            </w:r>
          </w:p>
        </w:tc>
        <w:tc>
          <w:tcPr>
            <w:tcW w:w="84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8</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w:t>
            </w: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993"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96.88%</w:t>
            </w:r>
          </w:p>
        </w:tc>
      </w:tr>
      <w:tr>
        <w:tblPrEx>
          <w:tblLayout w:type="fixed"/>
          <w:tblCellMar>
            <w:top w:w="15" w:type="dxa"/>
            <w:left w:w="108" w:type="dxa"/>
            <w:bottom w:w="15" w:type="dxa"/>
            <w:right w:w="108" w:type="dxa"/>
          </w:tblCellMar>
        </w:tblPrEx>
        <w:trPr>
          <w:trHeight w:val="285" w:hRule="atLeast"/>
          <w:jc w:val="center"/>
        </w:trPr>
        <w:tc>
          <w:tcPr>
            <w:tcW w:w="1004" w:type="dxa"/>
            <w:vMerge w:val="restart"/>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新闻传播学院</w:t>
            </w:r>
          </w:p>
        </w:tc>
        <w:tc>
          <w:tcPr>
            <w:tcW w:w="155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编辑出版学</w:t>
            </w: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34</w:t>
            </w:r>
          </w:p>
        </w:tc>
        <w:tc>
          <w:tcPr>
            <w:tcW w:w="80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22</w:t>
            </w:r>
          </w:p>
        </w:tc>
        <w:tc>
          <w:tcPr>
            <w:tcW w:w="84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993"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97.06%</w:t>
            </w:r>
          </w:p>
        </w:tc>
      </w:tr>
      <w:tr>
        <w:tblPrEx>
          <w:tblLayout w:type="fixed"/>
          <w:tblCellMar>
            <w:top w:w="15" w:type="dxa"/>
            <w:left w:w="108" w:type="dxa"/>
            <w:bottom w:w="15" w:type="dxa"/>
            <w:right w:w="108" w:type="dxa"/>
          </w:tblCellMar>
        </w:tblPrEx>
        <w:trPr>
          <w:trHeight w:val="285" w:hRule="atLeast"/>
          <w:jc w:val="center"/>
        </w:trPr>
        <w:tc>
          <w:tcPr>
            <w:tcW w:w="1004" w:type="dxa"/>
            <w:vMerge w:val="continue"/>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p>
        </w:tc>
        <w:tc>
          <w:tcPr>
            <w:tcW w:w="155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表演(播音与主持艺术)</w:t>
            </w: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80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84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993"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100.00%</w:t>
            </w:r>
          </w:p>
        </w:tc>
      </w:tr>
      <w:tr>
        <w:tblPrEx>
          <w:tblLayout w:type="fixed"/>
          <w:tblCellMar>
            <w:top w:w="15" w:type="dxa"/>
            <w:left w:w="108" w:type="dxa"/>
            <w:bottom w:w="15" w:type="dxa"/>
            <w:right w:w="108" w:type="dxa"/>
          </w:tblCellMar>
        </w:tblPrEx>
        <w:trPr>
          <w:trHeight w:val="285" w:hRule="atLeast"/>
          <w:jc w:val="center"/>
        </w:trPr>
        <w:tc>
          <w:tcPr>
            <w:tcW w:w="1004" w:type="dxa"/>
            <w:vMerge w:val="continue"/>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p>
        </w:tc>
        <w:tc>
          <w:tcPr>
            <w:tcW w:w="155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播音与主持艺术</w:t>
            </w: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637</w:t>
            </w:r>
          </w:p>
        </w:tc>
        <w:tc>
          <w:tcPr>
            <w:tcW w:w="80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14</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453</w:t>
            </w:r>
          </w:p>
        </w:tc>
        <w:tc>
          <w:tcPr>
            <w:tcW w:w="84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127</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36</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7</w:t>
            </w:r>
          </w:p>
        </w:tc>
        <w:tc>
          <w:tcPr>
            <w:tcW w:w="993"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98.90%</w:t>
            </w:r>
          </w:p>
        </w:tc>
      </w:tr>
      <w:tr>
        <w:tblPrEx>
          <w:tblLayout w:type="fixed"/>
          <w:tblCellMar>
            <w:top w:w="15" w:type="dxa"/>
            <w:left w:w="108" w:type="dxa"/>
            <w:bottom w:w="15" w:type="dxa"/>
            <w:right w:w="108" w:type="dxa"/>
          </w:tblCellMar>
        </w:tblPrEx>
        <w:trPr>
          <w:trHeight w:val="285" w:hRule="atLeast"/>
          <w:jc w:val="center"/>
        </w:trPr>
        <w:tc>
          <w:tcPr>
            <w:tcW w:w="1004" w:type="dxa"/>
            <w:vMerge w:val="continue"/>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p>
        </w:tc>
        <w:tc>
          <w:tcPr>
            <w:tcW w:w="155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播音与主持艺术(英汉双语播音)</w:t>
            </w: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37</w:t>
            </w:r>
          </w:p>
        </w:tc>
        <w:tc>
          <w:tcPr>
            <w:tcW w:w="80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24</w:t>
            </w:r>
          </w:p>
        </w:tc>
        <w:tc>
          <w:tcPr>
            <w:tcW w:w="84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7</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w:t>
            </w: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993"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100.00%</w:t>
            </w:r>
          </w:p>
        </w:tc>
      </w:tr>
      <w:tr>
        <w:tblPrEx>
          <w:tblLayout w:type="fixed"/>
          <w:tblCellMar>
            <w:top w:w="15" w:type="dxa"/>
            <w:left w:w="108" w:type="dxa"/>
            <w:bottom w:w="15" w:type="dxa"/>
            <w:right w:w="108" w:type="dxa"/>
          </w:tblCellMar>
        </w:tblPrEx>
        <w:trPr>
          <w:trHeight w:val="285" w:hRule="atLeast"/>
          <w:jc w:val="center"/>
        </w:trPr>
        <w:tc>
          <w:tcPr>
            <w:tcW w:w="1004" w:type="dxa"/>
            <w:vMerge w:val="continue"/>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p>
        </w:tc>
        <w:tc>
          <w:tcPr>
            <w:tcW w:w="155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广播电视学</w:t>
            </w: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75</w:t>
            </w:r>
          </w:p>
        </w:tc>
        <w:tc>
          <w:tcPr>
            <w:tcW w:w="80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43</w:t>
            </w:r>
          </w:p>
        </w:tc>
        <w:tc>
          <w:tcPr>
            <w:tcW w:w="84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15</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w:t>
            </w: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11</w:t>
            </w:r>
          </w:p>
        </w:tc>
        <w:tc>
          <w:tcPr>
            <w:tcW w:w="993"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85.33%</w:t>
            </w:r>
          </w:p>
        </w:tc>
      </w:tr>
      <w:tr>
        <w:tblPrEx>
          <w:tblLayout w:type="fixed"/>
          <w:tblCellMar>
            <w:top w:w="15" w:type="dxa"/>
            <w:left w:w="108" w:type="dxa"/>
            <w:bottom w:w="15" w:type="dxa"/>
            <w:right w:w="108" w:type="dxa"/>
          </w:tblCellMar>
        </w:tblPrEx>
        <w:trPr>
          <w:trHeight w:val="285" w:hRule="atLeast"/>
          <w:jc w:val="center"/>
        </w:trPr>
        <w:tc>
          <w:tcPr>
            <w:tcW w:w="1004" w:type="dxa"/>
            <w:vMerge w:val="continue"/>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p>
        </w:tc>
        <w:tc>
          <w:tcPr>
            <w:tcW w:w="155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录音艺术(播音方向)</w:t>
            </w: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80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4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993"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100.00%</w:t>
            </w:r>
          </w:p>
        </w:tc>
      </w:tr>
      <w:tr>
        <w:tblPrEx>
          <w:tblLayout w:type="fixed"/>
          <w:tblCellMar>
            <w:top w:w="15" w:type="dxa"/>
            <w:left w:w="108" w:type="dxa"/>
            <w:bottom w:w="15" w:type="dxa"/>
            <w:right w:w="108" w:type="dxa"/>
          </w:tblCellMar>
        </w:tblPrEx>
        <w:trPr>
          <w:trHeight w:val="285" w:hRule="atLeast"/>
          <w:jc w:val="center"/>
        </w:trPr>
        <w:tc>
          <w:tcPr>
            <w:tcW w:w="1004" w:type="dxa"/>
            <w:vMerge w:val="continue"/>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p>
        </w:tc>
        <w:tc>
          <w:tcPr>
            <w:tcW w:w="155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网络与新媒体</w:t>
            </w: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52</w:t>
            </w:r>
          </w:p>
        </w:tc>
        <w:tc>
          <w:tcPr>
            <w:tcW w:w="80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35</w:t>
            </w:r>
          </w:p>
        </w:tc>
        <w:tc>
          <w:tcPr>
            <w:tcW w:w="84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12</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w:t>
            </w:r>
          </w:p>
        </w:tc>
        <w:tc>
          <w:tcPr>
            <w:tcW w:w="993"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96.15%</w:t>
            </w:r>
          </w:p>
        </w:tc>
      </w:tr>
      <w:tr>
        <w:tblPrEx>
          <w:tblLayout w:type="fixed"/>
          <w:tblCellMar>
            <w:top w:w="15" w:type="dxa"/>
            <w:left w:w="108" w:type="dxa"/>
            <w:bottom w:w="15" w:type="dxa"/>
            <w:right w:w="108" w:type="dxa"/>
          </w:tblCellMar>
        </w:tblPrEx>
        <w:trPr>
          <w:trHeight w:val="285" w:hRule="atLeast"/>
          <w:jc w:val="center"/>
        </w:trPr>
        <w:tc>
          <w:tcPr>
            <w:tcW w:w="2563" w:type="dxa"/>
            <w:gridSpan w:val="2"/>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新闻传播学院总计</w:t>
            </w: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837</w:t>
            </w:r>
          </w:p>
        </w:tc>
        <w:tc>
          <w:tcPr>
            <w:tcW w:w="80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16</w:t>
            </w: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578</w:t>
            </w:r>
          </w:p>
        </w:tc>
        <w:tc>
          <w:tcPr>
            <w:tcW w:w="84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171</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w:t>
            </w: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49</w:t>
            </w: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21</w:t>
            </w:r>
          </w:p>
        </w:tc>
        <w:tc>
          <w:tcPr>
            <w:tcW w:w="993"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97.49%</w:t>
            </w:r>
          </w:p>
        </w:tc>
      </w:tr>
      <w:tr>
        <w:tblPrEx>
          <w:tblLayout w:type="fixed"/>
          <w:tblCellMar>
            <w:top w:w="15" w:type="dxa"/>
            <w:left w:w="108" w:type="dxa"/>
            <w:bottom w:w="15" w:type="dxa"/>
            <w:right w:w="108" w:type="dxa"/>
          </w:tblCellMar>
        </w:tblPrEx>
        <w:trPr>
          <w:trHeight w:val="285" w:hRule="atLeast"/>
          <w:jc w:val="center"/>
        </w:trPr>
        <w:tc>
          <w:tcPr>
            <w:tcW w:w="1004" w:type="dxa"/>
            <w:vMerge w:val="restart"/>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信息技术与文化管理学院</w:t>
            </w:r>
          </w:p>
        </w:tc>
        <w:tc>
          <w:tcPr>
            <w:tcW w:w="155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公共事业管理</w:t>
            </w: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25</w:t>
            </w:r>
          </w:p>
        </w:tc>
        <w:tc>
          <w:tcPr>
            <w:tcW w:w="80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14</w:t>
            </w:r>
          </w:p>
        </w:tc>
        <w:tc>
          <w:tcPr>
            <w:tcW w:w="84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6</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993"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96.00%</w:t>
            </w:r>
          </w:p>
        </w:tc>
      </w:tr>
      <w:tr>
        <w:tblPrEx>
          <w:tblLayout w:type="fixed"/>
          <w:tblCellMar>
            <w:top w:w="15" w:type="dxa"/>
            <w:left w:w="108" w:type="dxa"/>
            <w:bottom w:w="15" w:type="dxa"/>
            <w:right w:w="108" w:type="dxa"/>
          </w:tblCellMar>
        </w:tblPrEx>
        <w:trPr>
          <w:trHeight w:val="285" w:hRule="atLeast"/>
          <w:jc w:val="center"/>
        </w:trPr>
        <w:tc>
          <w:tcPr>
            <w:tcW w:w="1004" w:type="dxa"/>
            <w:vMerge w:val="continue"/>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p>
        </w:tc>
        <w:tc>
          <w:tcPr>
            <w:tcW w:w="155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计算机科学与技术</w:t>
            </w: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42</w:t>
            </w:r>
          </w:p>
        </w:tc>
        <w:tc>
          <w:tcPr>
            <w:tcW w:w="80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30</w:t>
            </w:r>
          </w:p>
        </w:tc>
        <w:tc>
          <w:tcPr>
            <w:tcW w:w="84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w:t>
            </w: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993"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100.00%</w:t>
            </w:r>
          </w:p>
        </w:tc>
      </w:tr>
      <w:tr>
        <w:tblPrEx>
          <w:tblLayout w:type="fixed"/>
          <w:tblCellMar>
            <w:top w:w="15" w:type="dxa"/>
            <w:left w:w="108" w:type="dxa"/>
            <w:bottom w:w="15" w:type="dxa"/>
            <w:right w:w="108" w:type="dxa"/>
          </w:tblCellMar>
        </w:tblPrEx>
        <w:trPr>
          <w:trHeight w:val="285" w:hRule="atLeast"/>
          <w:jc w:val="center"/>
        </w:trPr>
        <w:tc>
          <w:tcPr>
            <w:tcW w:w="1004" w:type="dxa"/>
            <w:vMerge w:val="continue"/>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p>
        </w:tc>
        <w:tc>
          <w:tcPr>
            <w:tcW w:w="155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文化产业管理</w:t>
            </w: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73</w:t>
            </w:r>
          </w:p>
        </w:tc>
        <w:tc>
          <w:tcPr>
            <w:tcW w:w="80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53</w:t>
            </w:r>
          </w:p>
        </w:tc>
        <w:tc>
          <w:tcPr>
            <w:tcW w:w="84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14</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993"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98.63%</w:t>
            </w:r>
          </w:p>
        </w:tc>
      </w:tr>
      <w:tr>
        <w:tblPrEx>
          <w:tblLayout w:type="fixed"/>
          <w:tblCellMar>
            <w:top w:w="15" w:type="dxa"/>
            <w:left w:w="108" w:type="dxa"/>
            <w:bottom w:w="15" w:type="dxa"/>
            <w:right w:w="108" w:type="dxa"/>
          </w:tblCellMar>
        </w:tblPrEx>
        <w:trPr>
          <w:trHeight w:val="285" w:hRule="atLeast"/>
          <w:jc w:val="center"/>
        </w:trPr>
        <w:tc>
          <w:tcPr>
            <w:tcW w:w="1004" w:type="dxa"/>
            <w:vMerge w:val="continue"/>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p>
        </w:tc>
        <w:tc>
          <w:tcPr>
            <w:tcW w:w="155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物联网工程</w:t>
            </w: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8</w:t>
            </w:r>
          </w:p>
        </w:tc>
        <w:tc>
          <w:tcPr>
            <w:tcW w:w="80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w:t>
            </w:r>
          </w:p>
        </w:tc>
        <w:tc>
          <w:tcPr>
            <w:tcW w:w="84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993"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100.00%</w:t>
            </w:r>
          </w:p>
        </w:tc>
      </w:tr>
      <w:tr>
        <w:tblPrEx>
          <w:tblLayout w:type="fixed"/>
          <w:tblCellMar>
            <w:top w:w="15" w:type="dxa"/>
            <w:left w:w="108" w:type="dxa"/>
            <w:bottom w:w="15" w:type="dxa"/>
            <w:right w:w="108" w:type="dxa"/>
          </w:tblCellMar>
        </w:tblPrEx>
        <w:trPr>
          <w:trHeight w:val="285" w:hRule="atLeast"/>
          <w:jc w:val="center"/>
        </w:trPr>
        <w:tc>
          <w:tcPr>
            <w:tcW w:w="2563" w:type="dxa"/>
            <w:gridSpan w:val="2"/>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信息技术与</w:t>
            </w:r>
          </w:p>
          <w:p>
            <w:pPr>
              <w:widowControl/>
              <w:jc w:val="center"/>
              <w:rPr>
                <w:rFonts w:ascii="Arial" w:hAnsi="Arial" w:eastAsia="宋体" w:cs="Arial"/>
                <w:kern w:val="0"/>
                <w:sz w:val="20"/>
                <w:szCs w:val="20"/>
              </w:rPr>
            </w:pPr>
            <w:r>
              <w:rPr>
                <w:rFonts w:hint="eastAsia" w:ascii="Arial" w:hAnsi="Arial" w:eastAsia="宋体" w:cs="Arial"/>
                <w:kern w:val="0"/>
                <w:sz w:val="20"/>
                <w:szCs w:val="20"/>
              </w:rPr>
              <w:t>文化管理学院总计</w:t>
            </w: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148</w:t>
            </w:r>
          </w:p>
        </w:tc>
        <w:tc>
          <w:tcPr>
            <w:tcW w:w="80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102</w:t>
            </w:r>
          </w:p>
        </w:tc>
        <w:tc>
          <w:tcPr>
            <w:tcW w:w="84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32</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w:t>
            </w:r>
          </w:p>
        </w:tc>
        <w:tc>
          <w:tcPr>
            <w:tcW w:w="993"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center"/>
              <w:textAlignment w:val="center"/>
              <w:rPr>
                <w:rFonts w:ascii="Arial" w:hAnsi="Arial" w:eastAsia="宋体" w:cs="Arial"/>
                <w:kern w:val="0"/>
                <w:sz w:val="20"/>
                <w:szCs w:val="20"/>
              </w:rPr>
            </w:pPr>
            <w:r>
              <w:rPr>
                <w:rFonts w:ascii="Arial" w:hAnsi="Arial" w:eastAsia="宋体" w:cs="Arial"/>
                <w:kern w:val="0"/>
                <w:sz w:val="20"/>
                <w:szCs w:val="20"/>
                <w:lang w:bidi="ar"/>
              </w:rPr>
              <w:t>98.65%</w:t>
            </w:r>
          </w:p>
        </w:tc>
      </w:tr>
      <w:tr>
        <w:tblPrEx>
          <w:tblLayout w:type="fixed"/>
          <w:tblCellMar>
            <w:top w:w="15" w:type="dxa"/>
            <w:left w:w="108" w:type="dxa"/>
            <w:bottom w:w="15" w:type="dxa"/>
            <w:right w:w="108" w:type="dxa"/>
          </w:tblCellMar>
        </w:tblPrEx>
        <w:trPr>
          <w:trHeight w:val="285" w:hRule="atLeast"/>
          <w:jc w:val="center"/>
        </w:trPr>
        <w:tc>
          <w:tcPr>
            <w:tcW w:w="1004" w:type="dxa"/>
            <w:vMerge w:val="restart"/>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艺术设计学院</w:t>
            </w:r>
          </w:p>
        </w:tc>
        <w:tc>
          <w:tcPr>
            <w:tcW w:w="155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广告学</w:t>
            </w: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47</w:t>
            </w:r>
          </w:p>
        </w:tc>
        <w:tc>
          <w:tcPr>
            <w:tcW w:w="80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35</w:t>
            </w:r>
          </w:p>
        </w:tc>
        <w:tc>
          <w:tcPr>
            <w:tcW w:w="84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7</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w:t>
            </w: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993"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100.00%</w:t>
            </w:r>
          </w:p>
        </w:tc>
      </w:tr>
      <w:tr>
        <w:tblPrEx>
          <w:tblLayout w:type="fixed"/>
          <w:tblCellMar>
            <w:top w:w="15" w:type="dxa"/>
            <w:left w:w="108" w:type="dxa"/>
            <w:bottom w:w="15" w:type="dxa"/>
            <w:right w:w="108" w:type="dxa"/>
          </w:tblCellMar>
        </w:tblPrEx>
        <w:trPr>
          <w:trHeight w:val="285" w:hRule="atLeast"/>
          <w:jc w:val="center"/>
        </w:trPr>
        <w:tc>
          <w:tcPr>
            <w:tcW w:w="1004" w:type="dxa"/>
            <w:vMerge w:val="continue"/>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p>
        </w:tc>
        <w:tc>
          <w:tcPr>
            <w:tcW w:w="155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环境设计</w:t>
            </w: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89</w:t>
            </w:r>
          </w:p>
        </w:tc>
        <w:tc>
          <w:tcPr>
            <w:tcW w:w="80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60</w:t>
            </w:r>
          </w:p>
        </w:tc>
        <w:tc>
          <w:tcPr>
            <w:tcW w:w="84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22</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993"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98.88%</w:t>
            </w:r>
          </w:p>
        </w:tc>
      </w:tr>
      <w:tr>
        <w:tblPrEx>
          <w:tblLayout w:type="fixed"/>
          <w:tblCellMar>
            <w:top w:w="15" w:type="dxa"/>
            <w:left w:w="108" w:type="dxa"/>
            <w:bottom w:w="15" w:type="dxa"/>
            <w:right w:w="108" w:type="dxa"/>
          </w:tblCellMar>
        </w:tblPrEx>
        <w:trPr>
          <w:trHeight w:val="285" w:hRule="atLeast"/>
          <w:jc w:val="center"/>
        </w:trPr>
        <w:tc>
          <w:tcPr>
            <w:tcW w:w="1004" w:type="dxa"/>
            <w:vMerge w:val="continue"/>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p>
        </w:tc>
        <w:tc>
          <w:tcPr>
            <w:tcW w:w="155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视觉传达设计</w:t>
            </w: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62</w:t>
            </w:r>
          </w:p>
        </w:tc>
        <w:tc>
          <w:tcPr>
            <w:tcW w:w="80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40</w:t>
            </w:r>
          </w:p>
        </w:tc>
        <w:tc>
          <w:tcPr>
            <w:tcW w:w="84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20</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w:t>
            </w: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993"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100.00%</w:t>
            </w:r>
          </w:p>
        </w:tc>
      </w:tr>
      <w:tr>
        <w:tblPrEx>
          <w:tblLayout w:type="fixed"/>
          <w:tblCellMar>
            <w:top w:w="15" w:type="dxa"/>
            <w:left w:w="108" w:type="dxa"/>
            <w:bottom w:w="15" w:type="dxa"/>
            <w:right w:w="108" w:type="dxa"/>
          </w:tblCellMar>
        </w:tblPrEx>
        <w:trPr>
          <w:trHeight w:val="285" w:hRule="atLeast"/>
          <w:jc w:val="center"/>
        </w:trPr>
        <w:tc>
          <w:tcPr>
            <w:tcW w:w="1004" w:type="dxa"/>
            <w:vMerge w:val="continue"/>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p>
        </w:tc>
        <w:tc>
          <w:tcPr>
            <w:tcW w:w="155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戏剧影视美术设计</w:t>
            </w: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20</w:t>
            </w:r>
          </w:p>
        </w:tc>
        <w:tc>
          <w:tcPr>
            <w:tcW w:w="80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13</w:t>
            </w:r>
          </w:p>
        </w:tc>
        <w:tc>
          <w:tcPr>
            <w:tcW w:w="84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6</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993"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100.00%</w:t>
            </w:r>
          </w:p>
        </w:tc>
      </w:tr>
      <w:tr>
        <w:tblPrEx>
          <w:tblLayout w:type="fixed"/>
          <w:tblCellMar>
            <w:top w:w="15" w:type="dxa"/>
            <w:left w:w="108" w:type="dxa"/>
            <w:bottom w:w="15" w:type="dxa"/>
            <w:right w:w="108" w:type="dxa"/>
          </w:tblCellMar>
        </w:tblPrEx>
        <w:trPr>
          <w:trHeight w:val="285" w:hRule="atLeast"/>
          <w:jc w:val="center"/>
        </w:trPr>
        <w:tc>
          <w:tcPr>
            <w:tcW w:w="1004" w:type="dxa"/>
            <w:vMerge w:val="continue"/>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p>
        </w:tc>
        <w:tc>
          <w:tcPr>
            <w:tcW w:w="155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艺术设计</w:t>
            </w: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w:t>
            </w:r>
          </w:p>
        </w:tc>
        <w:tc>
          <w:tcPr>
            <w:tcW w:w="80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84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993"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100.00%</w:t>
            </w:r>
          </w:p>
        </w:tc>
      </w:tr>
      <w:tr>
        <w:tblPrEx>
          <w:tblLayout w:type="fixed"/>
          <w:tblCellMar>
            <w:top w:w="15" w:type="dxa"/>
            <w:left w:w="108" w:type="dxa"/>
            <w:bottom w:w="15" w:type="dxa"/>
            <w:right w:w="108" w:type="dxa"/>
          </w:tblCellMar>
        </w:tblPrEx>
        <w:trPr>
          <w:trHeight w:val="285" w:hRule="atLeast"/>
          <w:jc w:val="center"/>
        </w:trPr>
        <w:tc>
          <w:tcPr>
            <w:tcW w:w="2563" w:type="dxa"/>
            <w:gridSpan w:val="2"/>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艺术设计学院总计</w:t>
            </w: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220</w:t>
            </w:r>
          </w:p>
        </w:tc>
        <w:tc>
          <w:tcPr>
            <w:tcW w:w="80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149</w:t>
            </w:r>
          </w:p>
        </w:tc>
        <w:tc>
          <w:tcPr>
            <w:tcW w:w="84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56</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13</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993"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99.55%</w:t>
            </w:r>
          </w:p>
        </w:tc>
      </w:tr>
      <w:tr>
        <w:tblPrEx>
          <w:tblLayout w:type="fixed"/>
          <w:tblCellMar>
            <w:top w:w="15" w:type="dxa"/>
            <w:left w:w="108" w:type="dxa"/>
            <w:bottom w:w="15" w:type="dxa"/>
            <w:right w:w="108" w:type="dxa"/>
          </w:tblCellMar>
        </w:tblPrEx>
        <w:trPr>
          <w:trHeight w:val="285" w:hRule="atLeast"/>
          <w:jc w:val="center"/>
        </w:trPr>
        <w:tc>
          <w:tcPr>
            <w:tcW w:w="1004" w:type="dxa"/>
            <w:vMerge w:val="restart"/>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艺术体育学院</w:t>
            </w:r>
          </w:p>
        </w:tc>
        <w:tc>
          <w:tcPr>
            <w:tcW w:w="155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表演</w:t>
            </w: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32</w:t>
            </w:r>
          </w:p>
        </w:tc>
        <w:tc>
          <w:tcPr>
            <w:tcW w:w="80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w:t>
            </w:r>
          </w:p>
        </w:tc>
        <w:tc>
          <w:tcPr>
            <w:tcW w:w="84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6</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w:t>
            </w: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14</w:t>
            </w:r>
          </w:p>
        </w:tc>
        <w:tc>
          <w:tcPr>
            <w:tcW w:w="993"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56.25%</w:t>
            </w:r>
          </w:p>
        </w:tc>
      </w:tr>
      <w:tr>
        <w:tblPrEx>
          <w:tblLayout w:type="fixed"/>
          <w:tblCellMar>
            <w:top w:w="15" w:type="dxa"/>
            <w:left w:w="108" w:type="dxa"/>
            <w:bottom w:w="15" w:type="dxa"/>
            <w:right w:w="108" w:type="dxa"/>
          </w:tblCellMar>
        </w:tblPrEx>
        <w:trPr>
          <w:trHeight w:val="285" w:hRule="atLeast"/>
          <w:jc w:val="center"/>
        </w:trPr>
        <w:tc>
          <w:tcPr>
            <w:tcW w:w="1004" w:type="dxa"/>
            <w:vMerge w:val="continue"/>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p>
        </w:tc>
        <w:tc>
          <w:tcPr>
            <w:tcW w:w="155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表演(体育表演)</w:t>
            </w: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58</w:t>
            </w:r>
          </w:p>
        </w:tc>
        <w:tc>
          <w:tcPr>
            <w:tcW w:w="80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40</w:t>
            </w:r>
          </w:p>
        </w:tc>
        <w:tc>
          <w:tcPr>
            <w:tcW w:w="84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13</w:t>
            </w:r>
          </w:p>
        </w:tc>
        <w:tc>
          <w:tcPr>
            <w:tcW w:w="993"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77.59%</w:t>
            </w:r>
          </w:p>
        </w:tc>
      </w:tr>
      <w:tr>
        <w:tblPrEx>
          <w:tblLayout w:type="fixed"/>
          <w:tblCellMar>
            <w:top w:w="15" w:type="dxa"/>
            <w:left w:w="108" w:type="dxa"/>
            <w:bottom w:w="15" w:type="dxa"/>
            <w:right w:w="108" w:type="dxa"/>
          </w:tblCellMar>
        </w:tblPrEx>
        <w:trPr>
          <w:trHeight w:val="285" w:hRule="atLeast"/>
          <w:jc w:val="center"/>
        </w:trPr>
        <w:tc>
          <w:tcPr>
            <w:tcW w:w="1004" w:type="dxa"/>
            <w:vMerge w:val="continue"/>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p>
        </w:tc>
        <w:tc>
          <w:tcPr>
            <w:tcW w:w="155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休闲体育</w:t>
            </w: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27</w:t>
            </w:r>
          </w:p>
        </w:tc>
        <w:tc>
          <w:tcPr>
            <w:tcW w:w="80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w:t>
            </w:r>
          </w:p>
        </w:tc>
        <w:tc>
          <w:tcPr>
            <w:tcW w:w="84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22</w:t>
            </w:r>
          </w:p>
        </w:tc>
        <w:tc>
          <w:tcPr>
            <w:tcW w:w="993"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18.52%</w:t>
            </w:r>
          </w:p>
        </w:tc>
      </w:tr>
      <w:tr>
        <w:tblPrEx>
          <w:tblLayout w:type="fixed"/>
          <w:tblCellMar>
            <w:top w:w="15" w:type="dxa"/>
            <w:left w:w="108" w:type="dxa"/>
            <w:bottom w:w="15" w:type="dxa"/>
            <w:right w:w="108" w:type="dxa"/>
          </w:tblCellMar>
        </w:tblPrEx>
        <w:trPr>
          <w:trHeight w:val="285" w:hRule="atLeast"/>
          <w:jc w:val="center"/>
        </w:trPr>
        <w:tc>
          <w:tcPr>
            <w:tcW w:w="2563" w:type="dxa"/>
            <w:gridSpan w:val="2"/>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艺术体育学院总计</w:t>
            </w: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117</w:t>
            </w:r>
          </w:p>
        </w:tc>
        <w:tc>
          <w:tcPr>
            <w:tcW w:w="80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53</w:t>
            </w:r>
          </w:p>
        </w:tc>
        <w:tc>
          <w:tcPr>
            <w:tcW w:w="84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49</w:t>
            </w:r>
          </w:p>
        </w:tc>
        <w:tc>
          <w:tcPr>
            <w:tcW w:w="993"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58.12%</w:t>
            </w:r>
          </w:p>
        </w:tc>
      </w:tr>
      <w:tr>
        <w:tblPrEx>
          <w:tblLayout w:type="fixed"/>
          <w:tblCellMar>
            <w:top w:w="15" w:type="dxa"/>
            <w:left w:w="108" w:type="dxa"/>
            <w:bottom w:w="15" w:type="dxa"/>
            <w:right w:w="108" w:type="dxa"/>
          </w:tblCellMar>
        </w:tblPrEx>
        <w:trPr>
          <w:trHeight w:val="285" w:hRule="atLeast"/>
          <w:jc w:val="center"/>
        </w:trPr>
        <w:tc>
          <w:tcPr>
            <w:tcW w:w="1004" w:type="dxa"/>
            <w:vMerge w:val="restart"/>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影视艺术学院</w:t>
            </w:r>
          </w:p>
        </w:tc>
        <w:tc>
          <w:tcPr>
            <w:tcW w:w="155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广播电视编导</w:t>
            </w: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854</w:t>
            </w:r>
          </w:p>
        </w:tc>
        <w:tc>
          <w:tcPr>
            <w:tcW w:w="80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16</w:t>
            </w: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554</w:t>
            </w:r>
          </w:p>
        </w:tc>
        <w:tc>
          <w:tcPr>
            <w:tcW w:w="84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202</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7</w:t>
            </w: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30</w:t>
            </w: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45</w:t>
            </w:r>
          </w:p>
        </w:tc>
        <w:tc>
          <w:tcPr>
            <w:tcW w:w="993"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94.73%</w:t>
            </w:r>
          </w:p>
        </w:tc>
      </w:tr>
      <w:tr>
        <w:tblPrEx>
          <w:tblLayout w:type="fixed"/>
          <w:tblCellMar>
            <w:top w:w="15" w:type="dxa"/>
            <w:left w:w="108" w:type="dxa"/>
            <w:bottom w:w="15" w:type="dxa"/>
            <w:right w:w="108" w:type="dxa"/>
          </w:tblCellMar>
        </w:tblPrEx>
        <w:trPr>
          <w:trHeight w:val="285" w:hRule="atLeast"/>
          <w:jc w:val="center"/>
        </w:trPr>
        <w:tc>
          <w:tcPr>
            <w:tcW w:w="1004" w:type="dxa"/>
            <w:vMerge w:val="continue"/>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p>
        </w:tc>
        <w:tc>
          <w:tcPr>
            <w:tcW w:w="155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录音艺术</w:t>
            </w: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24</w:t>
            </w:r>
          </w:p>
        </w:tc>
        <w:tc>
          <w:tcPr>
            <w:tcW w:w="80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18</w:t>
            </w:r>
          </w:p>
        </w:tc>
        <w:tc>
          <w:tcPr>
            <w:tcW w:w="84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6</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993"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100.00%</w:t>
            </w:r>
          </w:p>
        </w:tc>
      </w:tr>
      <w:tr>
        <w:tblPrEx>
          <w:tblLayout w:type="fixed"/>
          <w:tblCellMar>
            <w:top w:w="15" w:type="dxa"/>
            <w:left w:w="108" w:type="dxa"/>
            <w:bottom w:w="15" w:type="dxa"/>
            <w:right w:w="108" w:type="dxa"/>
          </w:tblCellMar>
        </w:tblPrEx>
        <w:trPr>
          <w:trHeight w:val="285" w:hRule="atLeast"/>
          <w:jc w:val="center"/>
        </w:trPr>
        <w:tc>
          <w:tcPr>
            <w:tcW w:w="1004" w:type="dxa"/>
            <w:vMerge w:val="continue"/>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p>
        </w:tc>
        <w:tc>
          <w:tcPr>
            <w:tcW w:w="155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摄影</w:t>
            </w: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216</w:t>
            </w:r>
          </w:p>
        </w:tc>
        <w:tc>
          <w:tcPr>
            <w:tcW w:w="80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150</w:t>
            </w:r>
          </w:p>
        </w:tc>
        <w:tc>
          <w:tcPr>
            <w:tcW w:w="84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55</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w:t>
            </w: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w:t>
            </w: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4</w:t>
            </w:r>
          </w:p>
        </w:tc>
        <w:tc>
          <w:tcPr>
            <w:tcW w:w="993"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98.15%</w:t>
            </w:r>
          </w:p>
        </w:tc>
      </w:tr>
      <w:tr>
        <w:tblPrEx>
          <w:tblLayout w:type="fixed"/>
          <w:tblCellMar>
            <w:top w:w="15" w:type="dxa"/>
            <w:left w:w="108" w:type="dxa"/>
            <w:bottom w:w="15" w:type="dxa"/>
            <w:right w:w="108" w:type="dxa"/>
          </w:tblCellMar>
        </w:tblPrEx>
        <w:trPr>
          <w:trHeight w:val="285" w:hRule="atLeast"/>
          <w:jc w:val="center"/>
        </w:trPr>
        <w:tc>
          <w:tcPr>
            <w:tcW w:w="1004" w:type="dxa"/>
            <w:vMerge w:val="continue"/>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p>
        </w:tc>
        <w:tc>
          <w:tcPr>
            <w:tcW w:w="155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数字媒体艺术</w:t>
            </w: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108</w:t>
            </w:r>
          </w:p>
        </w:tc>
        <w:tc>
          <w:tcPr>
            <w:tcW w:w="80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79</w:t>
            </w:r>
          </w:p>
        </w:tc>
        <w:tc>
          <w:tcPr>
            <w:tcW w:w="84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26</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993"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100.00%</w:t>
            </w:r>
          </w:p>
        </w:tc>
      </w:tr>
      <w:tr>
        <w:tblPrEx>
          <w:tblLayout w:type="fixed"/>
          <w:tblCellMar>
            <w:top w:w="15" w:type="dxa"/>
            <w:left w:w="108" w:type="dxa"/>
            <w:bottom w:w="15" w:type="dxa"/>
            <w:right w:w="108" w:type="dxa"/>
          </w:tblCellMar>
        </w:tblPrEx>
        <w:trPr>
          <w:trHeight w:val="285" w:hRule="atLeast"/>
          <w:jc w:val="center"/>
        </w:trPr>
        <w:tc>
          <w:tcPr>
            <w:tcW w:w="1004" w:type="dxa"/>
            <w:vMerge w:val="continue"/>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p>
        </w:tc>
        <w:tc>
          <w:tcPr>
            <w:tcW w:w="155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戏剧影视文学</w:t>
            </w: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31</w:t>
            </w:r>
          </w:p>
        </w:tc>
        <w:tc>
          <w:tcPr>
            <w:tcW w:w="80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23</w:t>
            </w:r>
          </w:p>
        </w:tc>
        <w:tc>
          <w:tcPr>
            <w:tcW w:w="84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7</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993"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100.00%</w:t>
            </w:r>
          </w:p>
        </w:tc>
      </w:tr>
      <w:tr>
        <w:tblPrEx>
          <w:tblLayout w:type="fixed"/>
          <w:tblCellMar>
            <w:top w:w="15" w:type="dxa"/>
            <w:left w:w="108" w:type="dxa"/>
            <w:bottom w:w="15" w:type="dxa"/>
            <w:right w:w="108" w:type="dxa"/>
          </w:tblCellMar>
        </w:tblPrEx>
        <w:trPr>
          <w:trHeight w:val="285" w:hRule="atLeast"/>
          <w:jc w:val="center"/>
        </w:trPr>
        <w:tc>
          <w:tcPr>
            <w:tcW w:w="1004" w:type="dxa"/>
            <w:vMerge w:val="continue"/>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p>
        </w:tc>
        <w:tc>
          <w:tcPr>
            <w:tcW w:w="155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影视摄影与制作</w:t>
            </w: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111</w:t>
            </w:r>
          </w:p>
        </w:tc>
        <w:tc>
          <w:tcPr>
            <w:tcW w:w="80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85</w:t>
            </w:r>
          </w:p>
        </w:tc>
        <w:tc>
          <w:tcPr>
            <w:tcW w:w="84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21</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4</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993"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99.10%</w:t>
            </w:r>
          </w:p>
        </w:tc>
      </w:tr>
      <w:tr>
        <w:tblPrEx>
          <w:tblLayout w:type="fixed"/>
          <w:tblCellMar>
            <w:top w:w="15" w:type="dxa"/>
            <w:left w:w="108" w:type="dxa"/>
            <w:bottom w:w="15" w:type="dxa"/>
            <w:right w:w="108" w:type="dxa"/>
          </w:tblCellMar>
        </w:tblPrEx>
        <w:trPr>
          <w:trHeight w:val="285" w:hRule="atLeast"/>
          <w:jc w:val="center"/>
        </w:trPr>
        <w:tc>
          <w:tcPr>
            <w:tcW w:w="1004" w:type="dxa"/>
            <w:vMerge w:val="continue"/>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p>
        </w:tc>
        <w:tc>
          <w:tcPr>
            <w:tcW w:w="155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照明艺术</w:t>
            </w: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80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4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993"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100.00%</w:t>
            </w:r>
          </w:p>
        </w:tc>
      </w:tr>
      <w:tr>
        <w:tblPrEx>
          <w:tblLayout w:type="fixed"/>
          <w:tblCellMar>
            <w:top w:w="15" w:type="dxa"/>
            <w:left w:w="108" w:type="dxa"/>
            <w:bottom w:w="15" w:type="dxa"/>
            <w:right w:w="108" w:type="dxa"/>
          </w:tblCellMar>
        </w:tblPrEx>
        <w:trPr>
          <w:trHeight w:val="285" w:hRule="atLeast"/>
          <w:jc w:val="center"/>
        </w:trPr>
        <w:tc>
          <w:tcPr>
            <w:tcW w:w="2563" w:type="dxa"/>
            <w:gridSpan w:val="2"/>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影视艺术学院总计</w:t>
            </w: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1345</w:t>
            </w:r>
          </w:p>
        </w:tc>
        <w:tc>
          <w:tcPr>
            <w:tcW w:w="80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16</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909</w:t>
            </w:r>
          </w:p>
        </w:tc>
        <w:tc>
          <w:tcPr>
            <w:tcW w:w="849"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318</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w:t>
            </w:r>
          </w:p>
        </w:tc>
        <w:tc>
          <w:tcPr>
            <w:tcW w:w="567"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43</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50</w:t>
            </w:r>
          </w:p>
        </w:tc>
        <w:tc>
          <w:tcPr>
            <w:tcW w:w="993"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96.28%</w:t>
            </w:r>
          </w:p>
        </w:tc>
      </w:tr>
      <w:tr>
        <w:tblPrEx>
          <w:tblLayout w:type="fixed"/>
          <w:tblCellMar>
            <w:top w:w="15" w:type="dxa"/>
            <w:left w:w="108" w:type="dxa"/>
            <w:bottom w:w="15" w:type="dxa"/>
            <w:right w:w="108" w:type="dxa"/>
          </w:tblCellMar>
        </w:tblPrEx>
        <w:trPr>
          <w:trHeight w:val="285" w:hRule="atLeast"/>
          <w:jc w:val="center"/>
        </w:trPr>
        <w:tc>
          <w:tcPr>
            <w:tcW w:w="2563" w:type="dxa"/>
            <w:gridSpan w:val="2"/>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center"/>
              <w:rPr>
                <w:rFonts w:ascii="Arial" w:hAnsi="Arial" w:eastAsia="宋体" w:cs="Arial"/>
                <w:b/>
                <w:kern w:val="0"/>
                <w:sz w:val="20"/>
                <w:szCs w:val="20"/>
              </w:rPr>
            </w:pPr>
            <w:r>
              <w:rPr>
                <w:rFonts w:hint="eastAsia" w:ascii="Arial" w:hAnsi="Arial" w:eastAsia="宋体" w:cs="Arial"/>
                <w:b/>
                <w:kern w:val="0"/>
                <w:sz w:val="20"/>
                <w:szCs w:val="20"/>
              </w:rPr>
              <w:t>全院合计</w:t>
            </w: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b/>
                <w:kern w:val="0"/>
                <w:sz w:val="20"/>
                <w:szCs w:val="20"/>
              </w:rPr>
            </w:pPr>
            <w:r>
              <w:rPr>
                <w:rFonts w:ascii="Arial" w:hAnsi="Arial" w:eastAsia="宋体" w:cs="Arial"/>
                <w:b/>
                <w:kern w:val="0"/>
                <w:sz w:val="20"/>
                <w:szCs w:val="20"/>
                <w:lang w:bidi="ar"/>
              </w:rPr>
              <w:t>3100</w:t>
            </w:r>
          </w:p>
        </w:tc>
        <w:tc>
          <w:tcPr>
            <w:tcW w:w="80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b/>
                <w:kern w:val="0"/>
                <w:sz w:val="20"/>
                <w:szCs w:val="20"/>
              </w:rPr>
            </w:pPr>
            <w:r>
              <w:rPr>
                <w:rFonts w:ascii="Arial" w:hAnsi="Arial" w:eastAsia="宋体" w:cs="Arial"/>
                <w:b/>
                <w:kern w:val="0"/>
                <w:sz w:val="20"/>
                <w:szCs w:val="20"/>
                <w:lang w:bidi="ar"/>
              </w:rPr>
              <w:t>42</w:t>
            </w: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b/>
                <w:kern w:val="0"/>
                <w:sz w:val="20"/>
                <w:szCs w:val="20"/>
              </w:rPr>
            </w:pPr>
            <w:r>
              <w:rPr>
                <w:rFonts w:ascii="Arial" w:hAnsi="Arial" w:eastAsia="宋体" w:cs="Arial"/>
                <w:b/>
                <w:kern w:val="0"/>
                <w:sz w:val="20"/>
                <w:szCs w:val="20"/>
                <w:lang w:bidi="ar"/>
              </w:rPr>
              <w:t>2037</w:t>
            </w:r>
          </w:p>
        </w:tc>
        <w:tc>
          <w:tcPr>
            <w:tcW w:w="849"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b/>
                <w:kern w:val="0"/>
                <w:sz w:val="20"/>
                <w:szCs w:val="20"/>
              </w:rPr>
            </w:pPr>
            <w:r>
              <w:rPr>
                <w:rFonts w:ascii="Arial" w:hAnsi="Arial" w:eastAsia="宋体" w:cs="Arial"/>
                <w:b/>
                <w:kern w:val="0"/>
                <w:sz w:val="20"/>
                <w:szCs w:val="20"/>
                <w:lang w:bidi="ar"/>
              </w:rPr>
              <w:t>719</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b/>
                <w:kern w:val="0"/>
                <w:sz w:val="20"/>
                <w:szCs w:val="20"/>
              </w:rPr>
            </w:pPr>
            <w:r>
              <w:rPr>
                <w:rFonts w:ascii="Arial" w:hAnsi="Arial" w:eastAsia="宋体" w:cs="Arial"/>
                <w:b/>
                <w:kern w:val="0"/>
                <w:sz w:val="20"/>
                <w:szCs w:val="20"/>
                <w:lang w:bidi="ar"/>
              </w:rPr>
              <w:t>15</w:t>
            </w:r>
          </w:p>
        </w:tc>
        <w:tc>
          <w:tcPr>
            <w:tcW w:w="56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b/>
                <w:kern w:val="0"/>
                <w:sz w:val="20"/>
                <w:szCs w:val="20"/>
              </w:rPr>
            </w:pPr>
            <w:r>
              <w:rPr>
                <w:rFonts w:ascii="Arial" w:hAnsi="Arial" w:eastAsia="宋体" w:cs="Arial"/>
                <w:b/>
                <w:kern w:val="0"/>
                <w:sz w:val="20"/>
                <w:szCs w:val="20"/>
                <w:lang w:bidi="ar"/>
              </w:rPr>
              <w:t>139</w:t>
            </w:r>
          </w:p>
        </w:tc>
        <w:tc>
          <w:tcPr>
            <w:tcW w:w="850"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b/>
                <w:kern w:val="0"/>
                <w:sz w:val="20"/>
                <w:szCs w:val="20"/>
              </w:rPr>
            </w:pPr>
            <w:r>
              <w:rPr>
                <w:rFonts w:ascii="Arial" w:hAnsi="Arial" w:eastAsia="宋体" w:cs="Arial"/>
                <w:b/>
                <w:kern w:val="0"/>
                <w:sz w:val="20"/>
                <w:szCs w:val="20"/>
                <w:lang w:bidi="ar"/>
              </w:rPr>
              <w:t>148</w:t>
            </w:r>
          </w:p>
        </w:tc>
        <w:tc>
          <w:tcPr>
            <w:tcW w:w="993"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b/>
                <w:kern w:val="0"/>
                <w:sz w:val="20"/>
                <w:szCs w:val="20"/>
              </w:rPr>
            </w:pPr>
            <w:r>
              <w:rPr>
                <w:rFonts w:ascii="Arial" w:hAnsi="Arial" w:eastAsia="宋体" w:cs="Arial"/>
                <w:b/>
                <w:kern w:val="0"/>
                <w:sz w:val="20"/>
                <w:szCs w:val="20"/>
                <w:lang w:bidi="ar"/>
              </w:rPr>
              <w:t>95.23%</w:t>
            </w:r>
          </w:p>
        </w:tc>
      </w:tr>
    </w:tbl>
    <w:p>
      <w:pPr>
        <w:pStyle w:val="33"/>
        <w:spacing w:before="180" w:after="180" w:afterLines="0" w:line="360" w:lineRule="auto"/>
        <w:ind w:firstLine="482" w:firstLineChars="200"/>
        <w:outlineLvl w:val="2"/>
        <w:rPr>
          <w:rFonts w:ascii="Times New Roman" w:hAnsi="Times New Roman" w:eastAsia="宋体"/>
          <w:sz w:val="24"/>
          <w:szCs w:val="24"/>
        </w:rPr>
      </w:pPr>
      <w:bookmarkStart w:id="81" w:name="_Toc430099489"/>
      <w:bookmarkStart w:id="82" w:name="_Toc429218588"/>
      <w:bookmarkStart w:id="83" w:name="_Toc501407793"/>
      <w:r>
        <w:rPr>
          <w:rFonts w:hint="eastAsia" w:ascii="Times New Roman" w:hAnsi="Times New Roman" w:eastAsia="宋体"/>
          <w:sz w:val="24"/>
          <w:szCs w:val="24"/>
        </w:rPr>
        <w:t>2．</w:t>
      </w:r>
      <w:bookmarkEnd w:id="81"/>
      <w:bookmarkEnd w:id="82"/>
      <w:r>
        <w:rPr>
          <w:rFonts w:hint="eastAsia" w:ascii="Times New Roman" w:hAnsi="Times New Roman" w:eastAsia="宋体"/>
          <w:sz w:val="24"/>
          <w:szCs w:val="24"/>
        </w:rPr>
        <w:t>2017届分学院/专业专科毕业生就业率及毕业去向</w:t>
      </w:r>
      <w:bookmarkEnd w:id="83"/>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2017届专科毕业生平均就业率达到了86.15%，其中影视动画、新闻采编与制作等专业达到了100%，实现了充分就业。</w:t>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表1-11 2017届分学院/专业专科毕业生就业率及毕业去向</w:t>
      </w:r>
    </w:p>
    <w:tbl>
      <w:tblPr>
        <w:tblStyle w:val="26"/>
        <w:tblW w:w="8902" w:type="dxa"/>
        <w:jc w:val="center"/>
        <w:tblInd w:w="0" w:type="dxa"/>
        <w:tblLayout w:type="fixed"/>
        <w:tblCellMar>
          <w:top w:w="15" w:type="dxa"/>
          <w:left w:w="108" w:type="dxa"/>
          <w:bottom w:w="15" w:type="dxa"/>
          <w:right w:w="108" w:type="dxa"/>
        </w:tblCellMar>
      </w:tblPr>
      <w:tblGrid>
        <w:gridCol w:w="1377"/>
        <w:gridCol w:w="1545"/>
        <w:gridCol w:w="566"/>
        <w:gridCol w:w="844"/>
        <w:gridCol w:w="846"/>
        <w:gridCol w:w="845"/>
        <w:gridCol w:w="566"/>
        <w:gridCol w:w="564"/>
        <w:gridCol w:w="845"/>
        <w:gridCol w:w="904"/>
      </w:tblGrid>
      <w:tr>
        <w:tblPrEx>
          <w:tblLayout w:type="fixed"/>
          <w:tblCellMar>
            <w:top w:w="15" w:type="dxa"/>
            <w:left w:w="108" w:type="dxa"/>
            <w:bottom w:w="15" w:type="dxa"/>
            <w:right w:w="108" w:type="dxa"/>
          </w:tblCellMar>
        </w:tblPrEx>
        <w:trPr>
          <w:trHeight w:val="720" w:hRule="atLeast"/>
          <w:jc w:val="center"/>
        </w:trPr>
        <w:tc>
          <w:tcPr>
            <w:tcW w:w="1377" w:type="dxa"/>
            <w:tcBorders>
              <w:top w:val="single" w:color="4BACC6" w:sz="8" w:space="0"/>
              <w:left w:val="single" w:color="4BACC6" w:sz="8" w:space="0"/>
              <w:bottom w:val="single" w:color="FFFFFF" w:sz="4" w:space="0"/>
              <w:right w:val="single" w:color="4BACC6" w:sz="8" w:space="0"/>
            </w:tcBorders>
            <w:shd w:val="clear" w:color="auto" w:fill="4BACC6"/>
            <w:tcMar>
              <w:left w:w="57" w:type="dxa"/>
              <w:right w:w="57" w:type="dxa"/>
            </w:tcMar>
            <w:vAlign w:val="center"/>
          </w:tcPr>
          <w:p>
            <w:pPr>
              <w:widowControl/>
              <w:jc w:val="center"/>
              <w:rPr>
                <w:rFonts w:ascii="Arial" w:hAnsi="Arial" w:eastAsia="宋体" w:cs="Arial"/>
                <w:b/>
                <w:bCs/>
                <w:kern w:val="0"/>
                <w:sz w:val="20"/>
                <w:szCs w:val="20"/>
              </w:rPr>
            </w:pPr>
            <w:r>
              <w:rPr>
                <w:rFonts w:hint="eastAsia" w:ascii="Arial" w:hAnsi="Arial" w:eastAsia="宋体" w:cs="Arial"/>
                <w:b/>
                <w:bCs/>
                <w:kern w:val="0"/>
                <w:sz w:val="20"/>
                <w:szCs w:val="20"/>
              </w:rPr>
              <w:t>学院</w:t>
            </w:r>
          </w:p>
        </w:tc>
        <w:tc>
          <w:tcPr>
            <w:tcW w:w="1545" w:type="dxa"/>
            <w:tcBorders>
              <w:top w:val="single" w:color="4BACC6" w:sz="8" w:space="0"/>
              <w:left w:val="single" w:color="4BACC6" w:sz="8" w:space="0"/>
              <w:bottom w:val="single" w:color="FFFFFF" w:sz="4" w:space="0"/>
              <w:right w:val="single" w:color="4BACC6" w:sz="8" w:space="0"/>
            </w:tcBorders>
            <w:shd w:val="clear" w:color="auto" w:fill="4BACC6"/>
            <w:tcMar>
              <w:left w:w="57" w:type="dxa"/>
              <w:right w:w="57" w:type="dxa"/>
            </w:tcMar>
            <w:vAlign w:val="center"/>
          </w:tcPr>
          <w:p>
            <w:pPr>
              <w:widowControl/>
              <w:jc w:val="center"/>
              <w:rPr>
                <w:rFonts w:ascii="Arial" w:hAnsi="Arial" w:eastAsia="宋体" w:cs="Arial"/>
                <w:b/>
                <w:bCs/>
                <w:kern w:val="0"/>
                <w:sz w:val="20"/>
                <w:szCs w:val="20"/>
              </w:rPr>
            </w:pPr>
            <w:r>
              <w:rPr>
                <w:rFonts w:hint="eastAsia" w:ascii="Arial" w:hAnsi="Arial" w:eastAsia="宋体" w:cs="Arial"/>
                <w:b/>
                <w:bCs/>
                <w:kern w:val="0"/>
                <w:sz w:val="20"/>
                <w:szCs w:val="20"/>
              </w:rPr>
              <w:t>专业</w:t>
            </w:r>
          </w:p>
        </w:tc>
        <w:tc>
          <w:tcPr>
            <w:tcW w:w="566" w:type="dxa"/>
            <w:tcBorders>
              <w:top w:val="single" w:color="4BACC6" w:sz="8" w:space="0"/>
              <w:left w:val="single" w:color="4BACC6" w:sz="8" w:space="0"/>
              <w:bottom w:val="single" w:color="FFFFFF" w:sz="4" w:space="0"/>
              <w:right w:val="single" w:color="4BACC6" w:sz="8" w:space="0"/>
            </w:tcBorders>
            <w:shd w:val="clear" w:color="auto" w:fill="4BACC6"/>
            <w:tcMar>
              <w:left w:w="57" w:type="dxa"/>
              <w:right w:w="57" w:type="dxa"/>
            </w:tcMar>
            <w:vAlign w:val="center"/>
          </w:tcPr>
          <w:p>
            <w:pPr>
              <w:widowControl/>
              <w:jc w:val="center"/>
              <w:rPr>
                <w:rFonts w:ascii="Arial" w:hAnsi="Arial" w:eastAsia="宋体" w:cs="Arial"/>
                <w:b/>
                <w:bCs/>
                <w:kern w:val="0"/>
                <w:sz w:val="20"/>
                <w:szCs w:val="20"/>
              </w:rPr>
            </w:pPr>
            <w:r>
              <w:rPr>
                <w:rFonts w:hint="eastAsia" w:ascii="Arial" w:hAnsi="Arial" w:eastAsia="宋体" w:cs="Arial"/>
                <w:b/>
                <w:bCs/>
                <w:kern w:val="0"/>
                <w:sz w:val="20"/>
                <w:szCs w:val="20"/>
              </w:rPr>
              <w:t>专业</w:t>
            </w:r>
          </w:p>
          <w:p>
            <w:pPr>
              <w:widowControl/>
              <w:jc w:val="center"/>
              <w:rPr>
                <w:rFonts w:ascii="Arial" w:hAnsi="Arial" w:eastAsia="宋体" w:cs="Arial"/>
                <w:b/>
                <w:bCs/>
                <w:kern w:val="0"/>
                <w:sz w:val="20"/>
                <w:szCs w:val="20"/>
              </w:rPr>
            </w:pPr>
            <w:r>
              <w:rPr>
                <w:rFonts w:hint="eastAsia" w:ascii="Arial" w:hAnsi="Arial" w:eastAsia="宋体" w:cs="Arial"/>
                <w:b/>
                <w:bCs/>
                <w:kern w:val="0"/>
                <w:sz w:val="20"/>
                <w:szCs w:val="20"/>
              </w:rPr>
              <w:t>人数</w:t>
            </w:r>
          </w:p>
        </w:tc>
        <w:tc>
          <w:tcPr>
            <w:tcW w:w="844" w:type="dxa"/>
            <w:tcBorders>
              <w:top w:val="single" w:color="4BACC6" w:sz="8" w:space="0"/>
              <w:left w:val="single" w:color="4BACC6" w:sz="8" w:space="0"/>
              <w:bottom w:val="single" w:color="FFFFFF" w:sz="4" w:space="0"/>
              <w:right w:val="single" w:color="4BACC6" w:sz="8" w:space="0"/>
            </w:tcBorders>
            <w:shd w:val="clear" w:color="auto" w:fill="4BACC6"/>
            <w:tcMar>
              <w:left w:w="57" w:type="dxa"/>
              <w:right w:w="57" w:type="dxa"/>
            </w:tcMar>
            <w:vAlign w:val="center"/>
          </w:tcPr>
          <w:p>
            <w:pPr>
              <w:widowControl/>
              <w:jc w:val="center"/>
              <w:rPr>
                <w:rFonts w:ascii="Arial" w:hAnsi="Arial" w:eastAsia="宋体" w:cs="Arial"/>
                <w:b/>
                <w:bCs/>
                <w:kern w:val="0"/>
                <w:sz w:val="20"/>
                <w:szCs w:val="20"/>
              </w:rPr>
            </w:pPr>
            <w:r>
              <w:rPr>
                <w:rFonts w:hint="eastAsia" w:ascii="Arial" w:hAnsi="Arial" w:eastAsia="宋体" w:cs="Arial"/>
                <w:b/>
                <w:bCs/>
                <w:kern w:val="0"/>
                <w:sz w:val="20"/>
                <w:szCs w:val="20"/>
              </w:rPr>
              <w:t>签就业协议形式就业</w:t>
            </w:r>
          </w:p>
        </w:tc>
        <w:tc>
          <w:tcPr>
            <w:tcW w:w="846" w:type="dxa"/>
            <w:tcBorders>
              <w:top w:val="single" w:color="4BACC6" w:sz="8" w:space="0"/>
              <w:left w:val="single" w:color="4BACC6" w:sz="8" w:space="0"/>
              <w:bottom w:val="single" w:color="FFFFFF" w:sz="4" w:space="0"/>
              <w:right w:val="single" w:color="4BACC6" w:sz="8" w:space="0"/>
            </w:tcBorders>
            <w:shd w:val="clear" w:color="auto" w:fill="4BACC6"/>
            <w:tcMar>
              <w:left w:w="57" w:type="dxa"/>
              <w:right w:w="57" w:type="dxa"/>
            </w:tcMar>
            <w:vAlign w:val="center"/>
          </w:tcPr>
          <w:p>
            <w:pPr>
              <w:widowControl/>
              <w:jc w:val="center"/>
              <w:rPr>
                <w:rFonts w:ascii="Arial" w:hAnsi="Arial" w:eastAsia="宋体" w:cs="Arial"/>
                <w:b/>
                <w:bCs/>
                <w:kern w:val="0"/>
                <w:sz w:val="20"/>
                <w:szCs w:val="20"/>
              </w:rPr>
            </w:pPr>
            <w:r>
              <w:rPr>
                <w:rFonts w:hint="eastAsia" w:ascii="Arial" w:hAnsi="Arial" w:eastAsia="宋体" w:cs="Arial"/>
                <w:b/>
                <w:bCs/>
                <w:kern w:val="0"/>
                <w:sz w:val="20"/>
                <w:szCs w:val="20"/>
              </w:rPr>
              <w:t>签劳动合同形式就业</w:t>
            </w:r>
          </w:p>
        </w:tc>
        <w:tc>
          <w:tcPr>
            <w:tcW w:w="845" w:type="dxa"/>
            <w:tcBorders>
              <w:top w:val="single" w:color="4BACC6" w:sz="8" w:space="0"/>
              <w:left w:val="single" w:color="4BACC6" w:sz="8" w:space="0"/>
              <w:bottom w:val="single" w:color="FFFFFF" w:sz="4" w:space="0"/>
              <w:right w:val="single" w:color="4BACC6" w:sz="8" w:space="0"/>
            </w:tcBorders>
            <w:shd w:val="clear" w:color="auto" w:fill="4BACC6"/>
            <w:tcMar>
              <w:left w:w="57" w:type="dxa"/>
              <w:right w:w="57" w:type="dxa"/>
            </w:tcMar>
            <w:vAlign w:val="center"/>
          </w:tcPr>
          <w:p>
            <w:pPr>
              <w:widowControl/>
              <w:jc w:val="center"/>
              <w:rPr>
                <w:rFonts w:ascii="Arial" w:hAnsi="Arial" w:eastAsia="宋体" w:cs="Arial"/>
                <w:b/>
                <w:bCs/>
                <w:kern w:val="0"/>
                <w:sz w:val="20"/>
                <w:szCs w:val="20"/>
              </w:rPr>
            </w:pPr>
            <w:r>
              <w:rPr>
                <w:rFonts w:hint="eastAsia" w:ascii="Arial" w:hAnsi="Arial" w:eastAsia="宋体" w:cs="Arial"/>
                <w:b/>
                <w:bCs/>
                <w:kern w:val="0"/>
                <w:sz w:val="20"/>
                <w:szCs w:val="20"/>
              </w:rPr>
              <w:t>其他录用形式就业</w:t>
            </w:r>
          </w:p>
        </w:tc>
        <w:tc>
          <w:tcPr>
            <w:tcW w:w="566" w:type="dxa"/>
            <w:tcBorders>
              <w:top w:val="single" w:color="4BACC6" w:sz="8" w:space="0"/>
              <w:left w:val="single" w:color="4BACC6" w:sz="8" w:space="0"/>
              <w:bottom w:val="single" w:color="FFFFFF" w:sz="4" w:space="0"/>
              <w:right w:val="single" w:color="4BACC6" w:sz="8" w:space="0"/>
            </w:tcBorders>
            <w:shd w:val="clear" w:color="auto" w:fill="4BACC6"/>
            <w:tcMar>
              <w:left w:w="57" w:type="dxa"/>
              <w:right w:w="57" w:type="dxa"/>
            </w:tcMar>
            <w:vAlign w:val="center"/>
          </w:tcPr>
          <w:p>
            <w:pPr>
              <w:widowControl/>
              <w:jc w:val="center"/>
              <w:rPr>
                <w:rFonts w:ascii="Arial" w:hAnsi="Arial" w:eastAsia="宋体" w:cs="Arial"/>
                <w:b/>
                <w:bCs/>
                <w:kern w:val="0"/>
                <w:sz w:val="20"/>
                <w:szCs w:val="20"/>
              </w:rPr>
            </w:pPr>
            <w:r>
              <w:rPr>
                <w:rFonts w:hint="eastAsia" w:ascii="Arial" w:hAnsi="Arial" w:eastAsia="宋体" w:cs="Arial"/>
                <w:b/>
                <w:bCs/>
                <w:kern w:val="0"/>
                <w:sz w:val="20"/>
                <w:szCs w:val="20"/>
              </w:rPr>
              <w:t>升学</w:t>
            </w:r>
          </w:p>
        </w:tc>
        <w:tc>
          <w:tcPr>
            <w:tcW w:w="564" w:type="dxa"/>
            <w:tcBorders>
              <w:top w:val="single" w:color="4BACC6" w:sz="8" w:space="0"/>
              <w:left w:val="single" w:color="4BACC6" w:sz="8" w:space="0"/>
              <w:bottom w:val="single" w:color="FFFFFF" w:sz="4" w:space="0"/>
              <w:right w:val="single" w:color="4BACC6" w:sz="8" w:space="0"/>
            </w:tcBorders>
            <w:shd w:val="clear" w:color="auto" w:fill="4BACC6"/>
            <w:tcMar>
              <w:left w:w="57" w:type="dxa"/>
              <w:right w:w="57" w:type="dxa"/>
            </w:tcMar>
            <w:vAlign w:val="center"/>
          </w:tcPr>
          <w:p>
            <w:pPr>
              <w:widowControl/>
              <w:jc w:val="center"/>
              <w:rPr>
                <w:rFonts w:ascii="Arial" w:hAnsi="Arial" w:eastAsia="宋体" w:cs="Arial"/>
                <w:b/>
                <w:bCs/>
                <w:kern w:val="0"/>
                <w:sz w:val="20"/>
                <w:szCs w:val="20"/>
              </w:rPr>
            </w:pPr>
            <w:r>
              <w:rPr>
                <w:rFonts w:hint="eastAsia" w:ascii="Arial" w:hAnsi="Arial" w:eastAsia="宋体" w:cs="Arial"/>
                <w:b/>
                <w:bCs/>
                <w:kern w:val="0"/>
                <w:sz w:val="20"/>
                <w:szCs w:val="20"/>
              </w:rPr>
              <w:t>创业</w:t>
            </w:r>
          </w:p>
        </w:tc>
        <w:tc>
          <w:tcPr>
            <w:tcW w:w="845" w:type="dxa"/>
            <w:tcBorders>
              <w:top w:val="single" w:color="4BACC6" w:sz="8" w:space="0"/>
              <w:left w:val="single" w:color="4BACC6" w:sz="8" w:space="0"/>
              <w:bottom w:val="single" w:color="FFFFFF" w:sz="4" w:space="0"/>
              <w:right w:val="single" w:color="4BACC6" w:sz="8" w:space="0"/>
            </w:tcBorders>
            <w:shd w:val="clear" w:color="auto" w:fill="4BACC6"/>
            <w:tcMar>
              <w:left w:w="57" w:type="dxa"/>
              <w:right w:w="57" w:type="dxa"/>
            </w:tcMar>
            <w:vAlign w:val="center"/>
          </w:tcPr>
          <w:p>
            <w:pPr>
              <w:widowControl/>
              <w:jc w:val="center"/>
              <w:rPr>
                <w:rFonts w:ascii="Arial" w:hAnsi="Arial" w:eastAsia="宋体" w:cs="Arial"/>
                <w:b/>
                <w:bCs/>
                <w:kern w:val="0"/>
                <w:sz w:val="20"/>
                <w:szCs w:val="20"/>
              </w:rPr>
            </w:pPr>
            <w:r>
              <w:rPr>
                <w:rFonts w:hint="eastAsia" w:ascii="Arial" w:hAnsi="Arial" w:eastAsia="宋体" w:cs="Arial"/>
                <w:b/>
                <w:bCs/>
                <w:kern w:val="0"/>
                <w:sz w:val="20"/>
                <w:szCs w:val="20"/>
              </w:rPr>
              <w:t>未就业</w:t>
            </w:r>
          </w:p>
        </w:tc>
        <w:tc>
          <w:tcPr>
            <w:tcW w:w="904" w:type="dxa"/>
            <w:tcBorders>
              <w:top w:val="single" w:color="4BACC6" w:sz="8" w:space="0"/>
              <w:left w:val="single" w:color="4BACC6" w:sz="8" w:space="0"/>
              <w:bottom w:val="single" w:color="FFFFFF" w:sz="4" w:space="0"/>
              <w:right w:val="single" w:color="4BACC6" w:sz="8" w:space="0"/>
            </w:tcBorders>
            <w:shd w:val="clear" w:color="auto" w:fill="4BACC6"/>
            <w:tcMar>
              <w:left w:w="57" w:type="dxa"/>
              <w:right w:w="57" w:type="dxa"/>
            </w:tcMar>
            <w:vAlign w:val="center"/>
          </w:tcPr>
          <w:p>
            <w:pPr>
              <w:widowControl/>
              <w:jc w:val="center"/>
              <w:rPr>
                <w:rFonts w:ascii="Arial" w:hAnsi="Arial" w:eastAsia="宋体" w:cs="Arial"/>
                <w:b/>
                <w:bCs/>
                <w:kern w:val="0"/>
                <w:sz w:val="20"/>
                <w:szCs w:val="20"/>
              </w:rPr>
            </w:pPr>
            <w:r>
              <w:rPr>
                <w:rFonts w:hint="eastAsia" w:ascii="Arial" w:hAnsi="Arial" w:eastAsia="宋体" w:cs="Arial"/>
                <w:b/>
                <w:bCs/>
                <w:kern w:val="0"/>
                <w:sz w:val="20"/>
                <w:szCs w:val="20"/>
              </w:rPr>
              <w:t>就业率</w:t>
            </w:r>
          </w:p>
        </w:tc>
      </w:tr>
      <w:tr>
        <w:tblPrEx>
          <w:tblLayout w:type="fixed"/>
          <w:tblCellMar>
            <w:top w:w="15" w:type="dxa"/>
            <w:left w:w="108" w:type="dxa"/>
            <w:bottom w:w="15" w:type="dxa"/>
            <w:right w:w="108" w:type="dxa"/>
          </w:tblCellMar>
        </w:tblPrEx>
        <w:trPr>
          <w:trHeight w:val="285" w:hRule="atLeast"/>
          <w:jc w:val="center"/>
        </w:trPr>
        <w:tc>
          <w:tcPr>
            <w:tcW w:w="1377" w:type="dxa"/>
            <w:vMerge w:val="restart"/>
            <w:tcBorders>
              <w:top w:val="single" w:color="FFFFFF" w:sz="4"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表演艺术学院</w:t>
            </w:r>
          </w:p>
        </w:tc>
        <w:tc>
          <w:tcPr>
            <w:tcW w:w="1545" w:type="dxa"/>
            <w:tcBorders>
              <w:top w:val="single" w:color="FFFFFF" w:sz="4"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音乐表演</w:t>
            </w:r>
          </w:p>
        </w:tc>
        <w:tc>
          <w:tcPr>
            <w:tcW w:w="566" w:type="dxa"/>
            <w:tcBorders>
              <w:top w:val="single" w:color="FFFFFF" w:sz="4"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32</w:t>
            </w:r>
          </w:p>
        </w:tc>
        <w:tc>
          <w:tcPr>
            <w:tcW w:w="844" w:type="dxa"/>
            <w:tcBorders>
              <w:top w:val="single" w:color="FFFFFF" w:sz="4"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846" w:type="dxa"/>
            <w:tcBorders>
              <w:top w:val="single" w:color="FFFFFF" w:sz="4"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845" w:type="dxa"/>
            <w:tcBorders>
              <w:top w:val="single" w:color="FFFFFF" w:sz="4"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566" w:type="dxa"/>
            <w:tcBorders>
              <w:top w:val="single" w:color="FFFFFF" w:sz="4"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8</w:t>
            </w:r>
          </w:p>
        </w:tc>
        <w:tc>
          <w:tcPr>
            <w:tcW w:w="564" w:type="dxa"/>
            <w:tcBorders>
              <w:top w:val="single" w:color="FFFFFF" w:sz="4"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845" w:type="dxa"/>
            <w:tcBorders>
              <w:top w:val="single" w:color="FFFFFF" w:sz="4"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24</w:t>
            </w:r>
          </w:p>
        </w:tc>
        <w:tc>
          <w:tcPr>
            <w:tcW w:w="904" w:type="dxa"/>
            <w:tcBorders>
              <w:top w:val="single" w:color="FFFFFF" w:sz="4"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25.00%</w:t>
            </w:r>
          </w:p>
        </w:tc>
      </w:tr>
      <w:tr>
        <w:tblPrEx>
          <w:tblLayout w:type="fixed"/>
          <w:tblCellMar>
            <w:top w:w="15" w:type="dxa"/>
            <w:left w:w="108" w:type="dxa"/>
            <w:bottom w:w="15" w:type="dxa"/>
            <w:right w:w="108" w:type="dxa"/>
          </w:tblCellMar>
        </w:tblPrEx>
        <w:trPr>
          <w:trHeight w:val="285" w:hRule="atLeast"/>
          <w:jc w:val="center"/>
        </w:trPr>
        <w:tc>
          <w:tcPr>
            <w:tcW w:w="1377" w:type="dxa"/>
            <w:vMerge w:val="continue"/>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p>
        </w:tc>
        <w:tc>
          <w:tcPr>
            <w:tcW w:w="15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影视表演</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32</w:t>
            </w:r>
          </w:p>
        </w:tc>
        <w:tc>
          <w:tcPr>
            <w:tcW w:w="84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4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13</w:t>
            </w:r>
          </w:p>
        </w:tc>
        <w:tc>
          <w:tcPr>
            <w:tcW w:w="8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8</w:t>
            </w:r>
          </w:p>
        </w:tc>
        <w:tc>
          <w:tcPr>
            <w:tcW w:w="56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8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w:t>
            </w:r>
          </w:p>
        </w:tc>
        <w:tc>
          <w:tcPr>
            <w:tcW w:w="90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84.38%</w:t>
            </w:r>
          </w:p>
        </w:tc>
      </w:tr>
      <w:tr>
        <w:tblPrEx>
          <w:tblLayout w:type="fixed"/>
          <w:tblCellMar>
            <w:top w:w="15" w:type="dxa"/>
            <w:left w:w="108" w:type="dxa"/>
            <w:bottom w:w="15" w:type="dxa"/>
            <w:right w:w="108" w:type="dxa"/>
          </w:tblCellMar>
        </w:tblPrEx>
        <w:trPr>
          <w:trHeight w:val="285" w:hRule="atLeast"/>
          <w:jc w:val="center"/>
        </w:trPr>
        <w:tc>
          <w:tcPr>
            <w:tcW w:w="2922" w:type="dxa"/>
            <w:gridSpan w:val="2"/>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表演艺术学院总计</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64</w:t>
            </w:r>
          </w:p>
        </w:tc>
        <w:tc>
          <w:tcPr>
            <w:tcW w:w="84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84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13</w:t>
            </w:r>
          </w:p>
        </w:tc>
        <w:tc>
          <w:tcPr>
            <w:tcW w:w="845"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16</w:t>
            </w:r>
          </w:p>
        </w:tc>
        <w:tc>
          <w:tcPr>
            <w:tcW w:w="56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845"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29</w:t>
            </w:r>
          </w:p>
        </w:tc>
        <w:tc>
          <w:tcPr>
            <w:tcW w:w="90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54.69%</w:t>
            </w:r>
          </w:p>
        </w:tc>
      </w:tr>
      <w:tr>
        <w:tblPrEx>
          <w:tblLayout w:type="fixed"/>
          <w:tblCellMar>
            <w:top w:w="15" w:type="dxa"/>
            <w:left w:w="108" w:type="dxa"/>
            <w:bottom w:w="15" w:type="dxa"/>
            <w:right w:w="108" w:type="dxa"/>
          </w:tblCellMar>
        </w:tblPrEx>
        <w:trPr>
          <w:trHeight w:val="285" w:hRule="atLeast"/>
          <w:jc w:val="center"/>
        </w:trPr>
        <w:tc>
          <w:tcPr>
            <w:tcW w:w="137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r>
              <w:rPr>
                <w:rFonts w:hint="eastAsia" w:ascii="Arial" w:hAnsi="Arial" w:eastAsia="宋体" w:cs="Arial"/>
                <w:kern w:val="0"/>
                <w:sz w:val="20"/>
                <w:szCs w:val="20"/>
              </w:rPr>
              <w:t>动画学院</w:t>
            </w:r>
          </w:p>
        </w:tc>
        <w:tc>
          <w:tcPr>
            <w:tcW w:w="15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影视动画</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15</w:t>
            </w:r>
          </w:p>
        </w:tc>
        <w:tc>
          <w:tcPr>
            <w:tcW w:w="84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4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6</w:t>
            </w:r>
          </w:p>
        </w:tc>
        <w:tc>
          <w:tcPr>
            <w:tcW w:w="8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4</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4</w:t>
            </w:r>
          </w:p>
        </w:tc>
        <w:tc>
          <w:tcPr>
            <w:tcW w:w="56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8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90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100.00%</w:t>
            </w:r>
          </w:p>
        </w:tc>
      </w:tr>
      <w:tr>
        <w:tblPrEx>
          <w:tblLayout w:type="fixed"/>
          <w:tblCellMar>
            <w:top w:w="15" w:type="dxa"/>
            <w:left w:w="108" w:type="dxa"/>
            <w:bottom w:w="15" w:type="dxa"/>
            <w:right w:w="108" w:type="dxa"/>
          </w:tblCellMar>
        </w:tblPrEx>
        <w:trPr>
          <w:trHeight w:val="285" w:hRule="atLeast"/>
          <w:jc w:val="center"/>
        </w:trPr>
        <w:tc>
          <w:tcPr>
            <w:tcW w:w="2922" w:type="dxa"/>
            <w:gridSpan w:val="2"/>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动画学院总计</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15</w:t>
            </w:r>
          </w:p>
        </w:tc>
        <w:tc>
          <w:tcPr>
            <w:tcW w:w="84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84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6</w:t>
            </w:r>
          </w:p>
        </w:tc>
        <w:tc>
          <w:tcPr>
            <w:tcW w:w="845"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4</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4</w:t>
            </w:r>
          </w:p>
        </w:tc>
        <w:tc>
          <w:tcPr>
            <w:tcW w:w="56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845"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90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100.00%</w:t>
            </w:r>
          </w:p>
        </w:tc>
      </w:tr>
      <w:tr>
        <w:tblPrEx>
          <w:tblLayout w:type="fixed"/>
          <w:tblCellMar>
            <w:top w:w="15" w:type="dxa"/>
            <w:left w:w="108" w:type="dxa"/>
            <w:bottom w:w="15" w:type="dxa"/>
            <w:right w:w="108" w:type="dxa"/>
          </w:tblCellMar>
        </w:tblPrEx>
        <w:trPr>
          <w:trHeight w:val="285" w:hRule="atLeast"/>
          <w:jc w:val="center"/>
        </w:trPr>
        <w:tc>
          <w:tcPr>
            <w:tcW w:w="137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r>
              <w:rPr>
                <w:rFonts w:hint="eastAsia" w:ascii="Arial" w:hAnsi="Arial" w:eastAsia="宋体" w:cs="Arial"/>
                <w:kern w:val="0"/>
                <w:sz w:val="20"/>
                <w:szCs w:val="20"/>
              </w:rPr>
              <w:t>舞蹈艺术学院</w:t>
            </w:r>
          </w:p>
        </w:tc>
        <w:tc>
          <w:tcPr>
            <w:tcW w:w="15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舞蹈表演</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59</w:t>
            </w:r>
          </w:p>
        </w:tc>
        <w:tc>
          <w:tcPr>
            <w:tcW w:w="84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4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29</w:t>
            </w:r>
          </w:p>
        </w:tc>
        <w:tc>
          <w:tcPr>
            <w:tcW w:w="8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18</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w:t>
            </w:r>
          </w:p>
        </w:tc>
        <w:tc>
          <w:tcPr>
            <w:tcW w:w="56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w:t>
            </w:r>
          </w:p>
        </w:tc>
        <w:tc>
          <w:tcPr>
            <w:tcW w:w="8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w:t>
            </w:r>
          </w:p>
        </w:tc>
        <w:tc>
          <w:tcPr>
            <w:tcW w:w="90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91.53%</w:t>
            </w:r>
          </w:p>
        </w:tc>
      </w:tr>
      <w:tr>
        <w:tblPrEx>
          <w:tblLayout w:type="fixed"/>
          <w:tblCellMar>
            <w:top w:w="15" w:type="dxa"/>
            <w:left w:w="108" w:type="dxa"/>
            <w:bottom w:w="15" w:type="dxa"/>
            <w:right w:w="108" w:type="dxa"/>
          </w:tblCellMar>
        </w:tblPrEx>
        <w:trPr>
          <w:trHeight w:val="285" w:hRule="atLeast"/>
          <w:jc w:val="center"/>
        </w:trPr>
        <w:tc>
          <w:tcPr>
            <w:tcW w:w="2922" w:type="dxa"/>
            <w:gridSpan w:val="2"/>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舞蹈艺术学院总计</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59</w:t>
            </w:r>
          </w:p>
        </w:tc>
        <w:tc>
          <w:tcPr>
            <w:tcW w:w="84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84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29</w:t>
            </w:r>
          </w:p>
        </w:tc>
        <w:tc>
          <w:tcPr>
            <w:tcW w:w="845"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18</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w:t>
            </w:r>
          </w:p>
        </w:tc>
        <w:tc>
          <w:tcPr>
            <w:tcW w:w="56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w:t>
            </w:r>
          </w:p>
        </w:tc>
        <w:tc>
          <w:tcPr>
            <w:tcW w:w="845"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w:t>
            </w:r>
          </w:p>
        </w:tc>
        <w:tc>
          <w:tcPr>
            <w:tcW w:w="90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91.53%</w:t>
            </w:r>
          </w:p>
        </w:tc>
      </w:tr>
      <w:tr>
        <w:tblPrEx>
          <w:tblLayout w:type="fixed"/>
          <w:tblCellMar>
            <w:top w:w="15" w:type="dxa"/>
            <w:left w:w="108" w:type="dxa"/>
            <w:bottom w:w="15" w:type="dxa"/>
            <w:right w:w="108" w:type="dxa"/>
          </w:tblCellMar>
        </w:tblPrEx>
        <w:trPr>
          <w:trHeight w:val="285" w:hRule="atLeast"/>
          <w:jc w:val="center"/>
        </w:trPr>
        <w:tc>
          <w:tcPr>
            <w:tcW w:w="1377" w:type="dxa"/>
            <w:vMerge w:val="restart"/>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新闻传播学院</w:t>
            </w:r>
          </w:p>
        </w:tc>
        <w:tc>
          <w:tcPr>
            <w:tcW w:w="15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新闻采编与制作</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37</w:t>
            </w:r>
          </w:p>
        </w:tc>
        <w:tc>
          <w:tcPr>
            <w:tcW w:w="84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4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15</w:t>
            </w:r>
          </w:p>
        </w:tc>
        <w:tc>
          <w:tcPr>
            <w:tcW w:w="8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w:t>
            </w:r>
          </w:p>
        </w:tc>
        <w:tc>
          <w:tcPr>
            <w:tcW w:w="56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4</w:t>
            </w:r>
          </w:p>
        </w:tc>
        <w:tc>
          <w:tcPr>
            <w:tcW w:w="8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90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100.00%</w:t>
            </w:r>
          </w:p>
        </w:tc>
      </w:tr>
      <w:tr>
        <w:tblPrEx>
          <w:tblLayout w:type="fixed"/>
          <w:tblCellMar>
            <w:top w:w="15" w:type="dxa"/>
            <w:left w:w="108" w:type="dxa"/>
            <w:bottom w:w="15" w:type="dxa"/>
            <w:right w:w="108" w:type="dxa"/>
          </w:tblCellMar>
        </w:tblPrEx>
        <w:trPr>
          <w:trHeight w:val="285" w:hRule="atLeast"/>
          <w:jc w:val="center"/>
        </w:trPr>
        <w:tc>
          <w:tcPr>
            <w:tcW w:w="1377" w:type="dxa"/>
            <w:vMerge w:val="continue"/>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p>
        </w:tc>
        <w:tc>
          <w:tcPr>
            <w:tcW w:w="1545"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主持与播音</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93</w:t>
            </w:r>
          </w:p>
        </w:tc>
        <w:tc>
          <w:tcPr>
            <w:tcW w:w="84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84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29</w:t>
            </w:r>
          </w:p>
        </w:tc>
        <w:tc>
          <w:tcPr>
            <w:tcW w:w="845"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6</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50</w:t>
            </w:r>
          </w:p>
        </w:tc>
        <w:tc>
          <w:tcPr>
            <w:tcW w:w="56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6</w:t>
            </w:r>
          </w:p>
        </w:tc>
        <w:tc>
          <w:tcPr>
            <w:tcW w:w="845"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w:t>
            </w:r>
          </w:p>
        </w:tc>
        <w:tc>
          <w:tcPr>
            <w:tcW w:w="90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97.85%</w:t>
            </w:r>
          </w:p>
        </w:tc>
      </w:tr>
      <w:tr>
        <w:tblPrEx>
          <w:tblLayout w:type="fixed"/>
          <w:tblCellMar>
            <w:top w:w="15" w:type="dxa"/>
            <w:left w:w="108" w:type="dxa"/>
            <w:bottom w:w="15" w:type="dxa"/>
            <w:right w:w="108" w:type="dxa"/>
          </w:tblCellMar>
        </w:tblPrEx>
        <w:trPr>
          <w:trHeight w:val="285" w:hRule="atLeast"/>
          <w:jc w:val="center"/>
        </w:trPr>
        <w:tc>
          <w:tcPr>
            <w:tcW w:w="2922" w:type="dxa"/>
            <w:gridSpan w:val="2"/>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新闻传播学院总计</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130</w:t>
            </w:r>
          </w:p>
        </w:tc>
        <w:tc>
          <w:tcPr>
            <w:tcW w:w="84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4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44</w:t>
            </w:r>
          </w:p>
        </w:tc>
        <w:tc>
          <w:tcPr>
            <w:tcW w:w="8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15</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59</w:t>
            </w:r>
          </w:p>
        </w:tc>
        <w:tc>
          <w:tcPr>
            <w:tcW w:w="56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w:t>
            </w:r>
          </w:p>
        </w:tc>
        <w:tc>
          <w:tcPr>
            <w:tcW w:w="8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w:t>
            </w:r>
          </w:p>
        </w:tc>
        <w:tc>
          <w:tcPr>
            <w:tcW w:w="90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98.46%</w:t>
            </w:r>
          </w:p>
        </w:tc>
      </w:tr>
      <w:tr>
        <w:tblPrEx>
          <w:tblLayout w:type="fixed"/>
          <w:tblCellMar>
            <w:top w:w="15" w:type="dxa"/>
            <w:left w:w="108" w:type="dxa"/>
            <w:bottom w:w="15" w:type="dxa"/>
            <w:right w:w="108" w:type="dxa"/>
          </w:tblCellMar>
        </w:tblPrEx>
        <w:trPr>
          <w:trHeight w:val="285" w:hRule="atLeast"/>
          <w:jc w:val="center"/>
        </w:trPr>
        <w:tc>
          <w:tcPr>
            <w:tcW w:w="1377" w:type="dxa"/>
            <w:vMerge w:val="restart"/>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信息技术与文化管理学院</w:t>
            </w:r>
          </w:p>
        </w:tc>
        <w:tc>
          <w:tcPr>
            <w:tcW w:w="1545"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计算机信息管理</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12</w:t>
            </w:r>
          </w:p>
        </w:tc>
        <w:tc>
          <w:tcPr>
            <w:tcW w:w="84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84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6</w:t>
            </w:r>
          </w:p>
        </w:tc>
        <w:tc>
          <w:tcPr>
            <w:tcW w:w="845"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4</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56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845"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90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91.67%</w:t>
            </w:r>
          </w:p>
        </w:tc>
      </w:tr>
      <w:tr>
        <w:tblPrEx>
          <w:tblLayout w:type="fixed"/>
          <w:tblCellMar>
            <w:top w:w="15" w:type="dxa"/>
            <w:left w:w="108" w:type="dxa"/>
            <w:bottom w:w="15" w:type="dxa"/>
            <w:right w:w="108" w:type="dxa"/>
          </w:tblCellMar>
        </w:tblPrEx>
        <w:trPr>
          <w:trHeight w:val="285" w:hRule="atLeast"/>
          <w:jc w:val="center"/>
        </w:trPr>
        <w:tc>
          <w:tcPr>
            <w:tcW w:w="1377" w:type="dxa"/>
            <w:vMerge w:val="continue"/>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p>
        </w:tc>
        <w:tc>
          <w:tcPr>
            <w:tcW w:w="15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文化事业管理</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19</w:t>
            </w:r>
          </w:p>
        </w:tc>
        <w:tc>
          <w:tcPr>
            <w:tcW w:w="84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4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w:t>
            </w:r>
          </w:p>
        </w:tc>
        <w:tc>
          <w:tcPr>
            <w:tcW w:w="8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7</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56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8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90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94.74%</w:t>
            </w:r>
          </w:p>
        </w:tc>
      </w:tr>
      <w:tr>
        <w:tblPrEx>
          <w:tblLayout w:type="fixed"/>
          <w:tblCellMar>
            <w:top w:w="15" w:type="dxa"/>
            <w:left w:w="108" w:type="dxa"/>
            <w:bottom w:w="15" w:type="dxa"/>
            <w:right w:w="108" w:type="dxa"/>
          </w:tblCellMar>
        </w:tblPrEx>
        <w:trPr>
          <w:trHeight w:val="285" w:hRule="atLeast"/>
          <w:jc w:val="center"/>
        </w:trPr>
        <w:tc>
          <w:tcPr>
            <w:tcW w:w="1377" w:type="dxa"/>
            <w:vMerge w:val="continue"/>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p>
        </w:tc>
        <w:tc>
          <w:tcPr>
            <w:tcW w:w="1545"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影视多媒体技术</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11</w:t>
            </w:r>
          </w:p>
        </w:tc>
        <w:tc>
          <w:tcPr>
            <w:tcW w:w="84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84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w:t>
            </w:r>
          </w:p>
        </w:tc>
        <w:tc>
          <w:tcPr>
            <w:tcW w:w="845"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4</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w:t>
            </w:r>
          </w:p>
        </w:tc>
        <w:tc>
          <w:tcPr>
            <w:tcW w:w="56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845"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90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100.00%</w:t>
            </w:r>
          </w:p>
        </w:tc>
      </w:tr>
      <w:tr>
        <w:tblPrEx>
          <w:tblLayout w:type="fixed"/>
          <w:tblCellMar>
            <w:top w:w="15" w:type="dxa"/>
            <w:left w:w="108" w:type="dxa"/>
            <w:bottom w:w="15" w:type="dxa"/>
            <w:right w:w="108" w:type="dxa"/>
          </w:tblCellMar>
        </w:tblPrEx>
        <w:trPr>
          <w:trHeight w:val="285" w:hRule="atLeast"/>
          <w:jc w:val="center"/>
        </w:trPr>
        <w:tc>
          <w:tcPr>
            <w:tcW w:w="2922" w:type="dxa"/>
            <w:gridSpan w:val="2"/>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信息技术与文化管理学院总计</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42</w:t>
            </w:r>
          </w:p>
        </w:tc>
        <w:tc>
          <w:tcPr>
            <w:tcW w:w="84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4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20</w:t>
            </w:r>
          </w:p>
        </w:tc>
        <w:tc>
          <w:tcPr>
            <w:tcW w:w="8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15</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4</w:t>
            </w:r>
          </w:p>
        </w:tc>
        <w:tc>
          <w:tcPr>
            <w:tcW w:w="56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8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w:t>
            </w:r>
          </w:p>
        </w:tc>
        <w:tc>
          <w:tcPr>
            <w:tcW w:w="90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95.24%</w:t>
            </w:r>
          </w:p>
        </w:tc>
      </w:tr>
      <w:tr>
        <w:tblPrEx>
          <w:tblLayout w:type="fixed"/>
          <w:tblCellMar>
            <w:top w:w="15" w:type="dxa"/>
            <w:left w:w="108" w:type="dxa"/>
            <w:bottom w:w="15" w:type="dxa"/>
            <w:right w:w="108" w:type="dxa"/>
          </w:tblCellMar>
        </w:tblPrEx>
        <w:trPr>
          <w:trHeight w:val="285" w:hRule="atLeast"/>
          <w:jc w:val="center"/>
        </w:trPr>
        <w:tc>
          <w:tcPr>
            <w:tcW w:w="1377" w:type="dxa"/>
            <w:vMerge w:val="restart"/>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艺术设计学院</w:t>
            </w:r>
          </w:p>
        </w:tc>
        <w:tc>
          <w:tcPr>
            <w:tcW w:w="1545"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广告设计与制作</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93</w:t>
            </w:r>
          </w:p>
        </w:tc>
        <w:tc>
          <w:tcPr>
            <w:tcW w:w="84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84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47</w:t>
            </w:r>
          </w:p>
        </w:tc>
        <w:tc>
          <w:tcPr>
            <w:tcW w:w="845"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22</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w:t>
            </w:r>
          </w:p>
        </w:tc>
        <w:tc>
          <w:tcPr>
            <w:tcW w:w="56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13</w:t>
            </w:r>
          </w:p>
        </w:tc>
        <w:tc>
          <w:tcPr>
            <w:tcW w:w="845"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90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98.92%</w:t>
            </w:r>
          </w:p>
        </w:tc>
      </w:tr>
      <w:tr>
        <w:tblPrEx>
          <w:tblLayout w:type="fixed"/>
          <w:tblCellMar>
            <w:top w:w="15" w:type="dxa"/>
            <w:left w:w="108" w:type="dxa"/>
            <w:bottom w:w="15" w:type="dxa"/>
            <w:right w:w="108" w:type="dxa"/>
          </w:tblCellMar>
        </w:tblPrEx>
        <w:trPr>
          <w:trHeight w:val="285" w:hRule="atLeast"/>
          <w:jc w:val="center"/>
        </w:trPr>
        <w:tc>
          <w:tcPr>
            <w:tcW w:w="1377" w:type="dxa"/>
            <w:vMerge w:val="continue"/>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p>
        </w:tc>
        <w:tc>
          <w:tcPr>
            <w:tcW w:w="15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人物形象设计</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6</w:t>
            </w:r>
          </w:p>
        </w:tc>
        <w:tc>
          <w:tcPr>
            <w:tcW w:w="84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4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4</w:t>
            </w:r>
          </w:p>
        </w:tc>
        <w:tc>
          <w:tcPr>
            <w:tcW w:w="8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56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8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90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100.00%</w:t>
            </w:r>
          </w:p>
        </w:tc>
      </w:tr>
      <w:tr>
        <w:tblPrEx>
          <w:tblLayout w:type="fixed"/>
          <w:tblCellMar>
            <w:top w:w="15" w:type="dxa"/>
            <w:left w:w="108" w:type="dxa"/>
            <w:bottom w:w="15" w:type="dxa"/>
            <w:right w:w="108" w:type="dxa"/>
          </w:tblCellMar>
        </w:tblPrEx>
        <w:trPr>
          <w:trHeight w:val="285" w:hRule="atLeast"/>
          <w:jc w:val="center"/>
        </w:trPr>
        <w:tc>
          <w:tcPr>
            <w:tcW w:w="1377" w:type="dxa"/>
            <w:vMerge w:val="continue"/>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p>
        </w:tc>
        <w:tc>
          <w:tcPr>
            <w:tcW w:w="1545"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艺术设计</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107</w:t>
            </w:r>
          </w:p>
        </w:tc>
        <w:tc>
          <w:tcPr>
            <w:tcW w:w="84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84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51</w:t>
            </w:r>
          </w:p>
        </w:tc>
        <w:tc>
          <w:tcPr>
            <w:tcW w:w="845"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24</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20</w:t>
            </w:r>
          </w:p>
        </w:tc>
        <w:tc>
          <w:tcPr>
            <w:tcW w:w="56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w:t>
            </w:r>
          </w:p>
        </w:tc>
        <w:tc>
          <w:tcPr>
            <w:tcW w:w="845"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w:t>
            </w:r>
          </w:p>
        </w:tc>
        <w:tc>
          <w:tcPr>
            <w:tcW w:w="90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98.13%</w:t>
            </w:r>
          </w:p>
        </w:tc>
      </w:tr>
      <w:tr>
        <w:tblPrEx>
          <w:tblLayout w:type="fixed"/>
          <w:tblCellMar>
            <w:top w:w="15" w:type="dxa"/>
            <w:left w:w="108" w:type="dxa"/>
            <w:bottom w:w="15" w:type="dxa"/>
            <w:right w:w="108" w:type="dxa"/>
          </w:tblCellMar>
        </w:tblPrEx>
        <w:trPr>
          <w:trHeight w:val="285" w:hRule="atLeast"/>
          <w:jc w:val="center"/>
        </w:trPr>
        <w:tc>
          <w:tcPr>
            <w:tcW w:w="1377" w:type="dxa"/>
            <w:vMerge w:val="continue"/>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p>
        </w:tc>
        <w:tc>
          <w:tcPr>
            <w:tcW w:w="15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影视广告</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w:t>
            </w:r>
          </w:p>
        </w:tc>
        <w:tc>
          <w:tcPr>
            <w:tcW w:w="84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4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w:t>
            </w:r>
          </w:p>
        </w:tc>
        <w:tc>
          <w:tcPr>
            <w:tcW w:w="8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w:t>
            </w:r>
          </w:p>
        </w:tc>
        <w:tc>
          <w:tcPr>
            <w:tcW w:w="56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90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88.89%</w:t>
            </w:r>
          </w:p>
        </w:tc>
      </w:tr>
      <w:tr>
        <w:tblPrEx>
          <w:tblLayout w:type="fixed"/>
          <w:tblCellMar>
            <w:top w:w="15" w:type="dxa"/>
            <w:left w:w="108" w:type="dxa"/>
            <w:bottom w:w="15" w:type="dxa"/>
            <w:right w:w="108" w:type="dxa"/>
          </w:tblCellMar>
        </w:tblPrEx>
        <w:trPr>
          <w:trHeight w:val="285" w:hRule="atLeast"/>
          <w:jc w:val="center"/>
        </w:trPr>
        <w:tc>
          <w:tcPr>
            <w:tcW w:w="2922" w:type="dxa"/>
            <w:gridSpan w:val="2"/>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艺术设计学院总计</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215</w:t>
            </w:r>
          </w:p>
        </w:tc>
        <w:tc>
          <w:tcPr>
            <w:tcW w:w="84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84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105</w:t>
            </w:r>
          </w:p>
        </w:tc>
        <w:tc>
          <w:tcPr>
            <w:tcW w:w="845"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50</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32</w:t>
            </w:r>
          </w:p>
        </w:tc>
        <w:tc>
          <w:tcPr>
            <w:tcW w:w="56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24</w:t>
            </w:r>
          </w:p>
        </w:tc>
        <w:tc>
          <w:tcPr>
            <w:tcW w:w="845"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4</w:t>
            </w:r>
          </w:p>
        </w:tc>
        <w:tc>
          <w:tcPr>
            <w:tcW w:w="90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98.14%</w:t>
            </w:r>
          </w:p>
        </w:tc>
      </w:tr>
      <w:tr>
        <w:tblPrEx>
          <w:tblLayout w:type="fixed"/>
          <w:tblCellMar>
            <w:top w:w="15" w:type="dxa"/>
            <w:left w:w="108" w:type="dxa"/>
            <w:bottom w:w="15" w:type="dxa"/>
            <w:right w:w="108" w:type="dxa"/>
          </w:tblCellMar>
        </w:tblPrEx>
        <w:trPr>
          <w:trHeight w:val="285" w:hRule="atLeast"/>
          <w:jc w:val="center"/>
        </w:trPr>
        <w:tc>
          <w:tcPr>
            <w:tcW w:w="1377"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r>
              <w:rPr>
                <w:rFonts w:hint="eastAsia" w:ascii="Arial" w:hAnsi="Arial" w:eastAsia="宋体" w:cs="Arial"/>
                <w:kern w:val="0"/>
                <w:sz w:val="20"/>
                <w:szCs w:val="20"/>
              </w:rPr>
              <w:t>艺术体育学院</w:t>
            </w:r>
          </w:p>
        </w:tc>
        <w:tc>
          <w:tcPr>
            <w:tcW w:w="15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社会体育</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15</w:t>
            </w:r>
          </w:p>
        </w:tc>
        <w:tc>
          <w:tcPr>
            <w:tcW w:w="84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4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w:t>
            </w:r>
          </w:p>
        </w:tc>
        <w:tc>
          <w:tcPr>
            <w:tcW w:w="8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56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8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w:t>
            </w:r>
          </w:p>
        </w:tc>
        <w:tc>
          <w:tcPr>
            <w:tcW w:w="90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33.33%</w:t>
            </w:r>
          </w:p>
        </w:tc>
      </w:tr>
      <w:tr>
        <w:tblPrEx>
          <w:tblLayout w:type="fixed"/>
          <w:tblCellMar>
            <w:top w:w="15" w:type="dxa"/>
            <w:left w:w="108" w:type="dxa"/>
            <w:bottom w:w="15" w:type="dxa"/>
            <w:right w:w="108" w:type="dxa"/>
          </w:tblCellMar>
        </w:tblPrEx>
        <w:trPr>
          <w:trHeight w:val="285" w:hRule="atLeast"/>
          <w:jc w:val="center"/>
        </w:trPr>
        <w:tc>
          <w:tcPr>
            <w:tcW w:w="2922" w:type="dxa"/>
            <w:gridSpan w:val="2"/>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艺术体育学院总计</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15</w:t>
            </w:r>
          </w:p>
        </w:tc>
        <w:tc>
          <w:tcPr>
            <w:tcW w:w="84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84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w:t>
            </w:r>
          </w:p>
        </w:tc>
        <w:tc>
          <w:tcPr>
            <w:tcW w:w="845"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56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845"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w:t>
            </w:r>
          </w:p>
        </w:tc>
        <w:tc>
          <w:tcPr>
            <w:tcW w:w="90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33.33%</w:t>
            </w:r>
          </w:p>
        </w:tc>
      </w:tr>
      <w:tr>
        <w:tblPrEx>
          <w:tblLayout w:type="fixed"/>
          <w:tblCellMar>
            <w:top w:w="15" w:type="dxa"/>
            <w:left w:w="108" w:type="dxa"/>
            <w:bottom w:w="15" w:type="dxa"/>
            <w:right w:w="108" w:type="dxa"/>
          </w:tblCellMar>
        </w:tblPrEx>
        <w:trPr>
          <w:trHeight w:val="285" w:hRule="atLeast"/>
          <w:jc w:val="center"/>
        </w:trPr>
        <w:tc>
          <w:tcPr>
            <w:tcW w:w="1377" w:type="dxa"/>
            <w:vMerge w:val="restart"/>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影视艺术学院</w:t>
            </w:r>
          </w:p>
        </w:tc>
        <w:tc>
          <w:tcPr>
            <w:tcW w:w="15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编导</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104</w:t>
            </w:r>
          </w:p>
        </w:tc>
        <w:tc>
          <w:tcPr>
            <w:tcW w:w="84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4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6</w:t>
            </w:r>
          </w:p>
        </w:tc>
        <w:tc>
          <w:tcPr>
            <w:tcW w:w="8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50</w:t>
            </w:r>
          </w:p>
        </w:tc>
        <w:tc>
          <w:tcPr>
            <w:tcW w:w="56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w:t>
            </w:r>
          </w:p>
        </w:tc>
        <w:tc>
          <w:tcPr>
            <w:tcW w:w="8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39</w:t>
            </w:r>
          </w:p>
        </w:tc>
        <w:tc>
          <w:tcPr>
            <w:tcW w:w="90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62.50%</w:t>
            </w:r>
          </w:p>
        </w:tc>
      </w:tr>
      <w:tr>
        <w:tblPrEx>
          <w:tblLayout w:type="fixed"/>
          <w:tblCellMar>
            <w:top w:w="15" w:type="dxa"/>
            <w:left w:w="108" w:type="dxa"/>
            <w:bottom w:w="15" w:type="dxa"/>
            <w:right w:w="108" w:type="dxa"/>
          </w:tblCellMar>
        </w:tblPrEx>
        <w:trPr>
          <w:trHeight w:val="285" w:hRule="atLeast"/>
          <w:jc w:val="center"/>
        </w:trPr>
        <w:tc>
          <w:tcPr>
            <w:tcW w:w="1377" w:type="dxa"/>
            <w:vMerge w:val="continue"/>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p>
        </w:tc>
        <w:tc>
          <w:tcPr>
            <w:tcW w:w="1545"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电视节目制作</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23</w:t>
            </w:r>
          </w:p>
        </w:tc>
        <w:tc>
          <w:tcPr>
            <w:tcW w:w="84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w:t>
            </w:r>
          </w:p>
        </w:tc>
        <w:tc>
          <w:tcPr>
            <w:tcW w:w="84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845"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6</w:t>
            </w:r>
          </w:p>
        </w:tc>
        <w:tc>
          <w:tcPr>
            <w:tcW w:w="56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w:t>
            </w:r>
          </w:p>
        </w:tc>
        <w:tc>
          <w:tcPr>
            <w:tcW w:w="845"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jc w:val="left"/>
              <w:rPr>
                <w:rFonts w:ascii="Arial" w:hAnsi="Arial" w:eastAsia="宋体" w:cs="Arial"/>
                <w:kern w:val="0"/>
                <w:sz w:val="20"/>
                <w:szCs w:val="20"/>
              </w:rPr>
            </w:pPr>
          </w:p>
        </w:tc>
        <w:tc>
          <w:tcPr>
            <w:tcW w:w="90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100.00%</w:t>
            </w:r>
          </w:p>
        </w:tc>
      </w:tr>
      <w:tr>
        <w:tblPrEx>
          <w:tblLayout w:type="fixed"/>
          <w:tblCellMar>
            <w:top w:w="15" w:type="dxa"/>
            <w:left w:w="108" w:type="dxa"/>
            <w:bottom w:w="15" w:type="dxa"/>
            <w:right w:w="108" w:type="dxa"/>
          </w:tblCellMar>
        </w:tblPrEx>
        <w:trPr>
          <w:trHeight w:val="285" w:hRule="atLeast"/>
          <w:jc w:val="center"/>
        </w:trPr>
        <w:tc>
          <w:tcPr>
            <w:tcW w:w="1377" w:type="dxa"/>
            <w:vMerge w:val="continue"/>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p>
        </w:tc>
        <w:tc>
          <w:tcPr>
            <w:tcW w:w="15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rPr>
                <w:rFonts w:ascii="Arial" w:hAnsi="Arial" w:eastAsia="宋体" w:cs="Arial"/>
                <w:kern w:val="0"/>
                <w:sz w:val="20"/>
                <w:szCs w:val="20"/>
              </w:rPr>
            </w:pPr>
            <w:r>
              <w:rPr>
                <w:rFonts w:ascii="Arial" w:hAnsi="Arial" w:eastAsia="宋体" w:cs="Arial"/>
                <w:kern w:val="0"/>
                <w:sz w:val="20"/>
                <w:szCs w:val="20"/>
              </w:rPr>
              <w:t>摄影摄像技术</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26</w:t>
            </w:r>
          </w:p>
        </w:tc>
        <w:tc>
          <w:tcPr>
            <w:tcW w:w="84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84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2</w:t>
            </w:r>
          </w:p>
        </w:tc>
        <w:tc>
          <w:tcPr>
            <w:tcW w:w="8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jc w:val="left"/>
              <w:rPr>
                <w:rFonts w:ascii="Arial" w:hAnsi="Arial" w:eastAsia="宋体" w:cs="Arial"/>
                <w:kern w:val="0"/>
                <w:sz w:val="20"/>
                <w:szCs w:val="20"/>
              </w:rPr>
            </w:pP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14</w:t>
            </w:r>
          </w:p>
        </w:tc>
        <w:tc>
          <w:tcPr>
            <w:tcW w:w="56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w:t>
            </w:r>
          </w:p>
        </w:tc>
        <w:tc>
          <w:tcPr>
            <w:tcW w:w="8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5</w:t>
            </w:r>
          </w:p>
        </w:tc>
        <w:tc>
          <w:tcPr>
            <w:tcW w:w="90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80.77%</w:t>
            </w:r>
          </w:p>
        </w:tc>
      </w:tr>
      <w:tr>
        <w:tblPrEx>
          <w:tblLayout w:type="fixed"/>
          <w:tblCellMar>
            <w:top w:w="15" w:type="dxa"/>
            <w:left w:w="108" w:type="dxa"/>
            <w:bottom w:w="15" w:type="dxa"/>
            <w:right w:w="108" w:type="dxa"/>
          </w:tblCellMar>
        </w:tblPrEx>
        <w:trPr>
          <w:trHeight w:val="285" w:hRule="atLeast"/>
          <w:jc w:val="center"/>
        </w:trPr>
        <w:tc>
          <w:tcPr>
            <w:tcW w:w="2922" w:type="dxa"/>
            <w:gridSpan w:val="2"/>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影视艺术学院总计</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153</w:t>
            </w:r>
          </w:p>
        </w:tc>
        <w:tc>
          <w:tcPr>
            <w:tcW w:w="84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10</w:t>
            </w:r>
          </w:p>
        </w:tc>
        <w:tc>
          <w:tcPr>
            <w:tcW w:w="84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9</w:t>
            </w:r>
          </w:p>
        </w:tc>
        <w:tc>
          <w:tcPr>
            <w:tcW w:w="845"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w:t>
            </w:r>
          </w:p>
        </w:tc>
        <w:tc>
          <w:tcPr>
            <w:tcW w:w="566"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70</w:t>
            </w:r>
          </w:p>
        </w:tc>
        <w:tc>
          <w:tcPr>
            <w:tcW w:w="56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19</w:t>
            </w:r>
          </w:p>
        </w:tc>
        <w:tc>
          <w:tcPr>
            <w:tcW w:w="845"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44</w:t>
            </w:r>
          </w:p>
        </w:tc>
        <w:tc>
          <w:tcPr>
            <w:tcW w:w="904" w:type="dxa"/>
            <w:tcBorders>
              <w:top w:val="single" w:color="4BACC6" w:sz="8" w:space="0"/>
              <w:left w:val="single" w:color="4BACC6" w:sz="8" w:space="0"/>
              <w:bottom w:val="single" w:color="4BACC6" w:sz="8" w:space="0"/>
              <w:right w:val="single" w:color="4BACC6" w:sz="8" w:space="0"/>
            </w:tcBorders>
            <w:shd w:val="clear" w:color="auto" w:fill="B7DDE8"/>
            <w:tcMar>
              <w:left w:w="57" w:type="dxa"/>
              <w:right w:w="57" w:type="dxa"/>
            </w:tcMar>
            <w:vAlign w:val="center"/>
          </w:tcPr>
          <w:p>
            <w:pPr>
              <w:widowControl/>
              <w:jc w:val="left"/>
              <w:textAlignment w:val="center"/>
              <w:rPr>
                <w:rFonts w:ascii="Arial" w:hAnsi="Arial" w:eastAsia="宋体" w:cs="Arial"/>
                <w:kern w:val="0"/>
                <w:sz w:val="20"/>
                <w:szCs w:val="20"/>
              </w:rPr>
            </w:pPr>
            <w:r>
              <w:rPr>
                <w:rFonts w:ascii="Arial" w:hAnsi="Arial" w:eastAsia="宋体" w:cs="Arial"/>
                <w:kern w:val="0"/>
                <w:sz w:val="20"/>
                <w:szCs w:val="20"/>
                <w:lang w:bidi="ar"/>
              </w:rPr>
              <w:t>71.24%</w:t>
            </w:r>
          </w:p>
        </w:tc>
      </w:tr>
      <w:tr>
        <w:tblPrEx>
          <w:tblLayout w:type="fixed"/>
          <w:tblCellMar>
            <w:top w:w="15" w:type="dxa"/>
            <w:left w:w="108" w:type="dxa"/>
            <w:bottom w:w="15" w:type="dxa"/>
            <w:right w:w="108" w:type="dxa"/>
          </w:tblCellMar>
        </w:tblPrEx>
        <w:trPr>
          <w:trHeight w:val="285" w:hRule="atLeast"/>
          <w:jc w:val="center"/>
        </w:trPr>
        <w:tc>
          <w:tcPr>
            <w:tcW w:w="2922" w:type="dxa"/>
            <w:gridSpan w:val="2"/>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center"/>
              <w:rPr>
                <w:rFonts w:ascii="Arial" w:hAnsi="Arial" w:eastAsia="宋体" w:cs="Arial"/>
                <w:b/>
                <w:kern w:val="0"/>
                <w:sz w:val="20"/>
                <w:szCs w:val="20"/>
              </w:rPr>
            </w:pPr>
            <w:r>
              <w:rPr>
                <w:rFonts w:hint="eastAsia" w:ascii="Arial" w:hAnsi="Arial" w:eastAsia="宋体" w:cs="Arial"/>
                <w:b/>
                <w:kern w:val="0"/>
                <w:sz w:val="20"/>
                <w:szCs w:val="20"/>
              </w:rPr>
              <w:t>全院总计</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b/>
                <w:kern w:val="0"/>
                <w:sz w:val="20"/>
                <w:szCs w:val="20"/>
              </w:rPr>
            </w:pPr>
            <w:r>
              <w:rPr>
                <w:rFonts w:ascii="Arial" w:hAnsi="Arial" w:eastAsia="宋体" w:cs="Arial"/>
                <w:b/>
                <w:kern w:val="0"/>
                <w:sz w:val="20"/>
                <w:szCs w:val="20"/>
                <w:lang w:bidi="ar"/>
              </w:rPr>
              <w:t>693</w:t>
            </w:r>
          </w:p>
        </w:tc>
        <w:tc>
          <w:tcPr>
            <w:tcW w:w="84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b/>
                <w:kern w:val="0"/>
                <w:sz w:val="20"/>
                <w:szCs w:val="20"/>
              </w:rPr>
            </w:pPr>
            <w:r>
              <w:rPr>
                <w:rFonts w:ascii="Arial" w:hAnsi="Arial" w:eastAsia="宋体" w:cs="Arial"/>
                <w:b/>
                <w:kern w:val="0"/>
                <w:sz w:val="20"/>
                <w:szCs w:val="20"/>
                <w:lang w:bidi="ar"/>
              </w:rPr>
              <w:t>10</w:t>
            </w:r>
          </w:p>
        </w:tc>
        <w:tc>
          <w:tcPr>
            <w:tcW w:w="84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b/>
                <w:kern w:val="0"/>
                <w:sz w:val="20"/>
                <w:szCs w:val="20"/>
              </w:rPr>
            </w:pPr>
            <w:r>
              <w:rPr>
                <w:rFonts w:ascii="Arial" w:hAnsi="Arial" w:eastAsia="宋体" w:cs="Arial"/>
                <w:b/>
                <w:kern w:val="0"/>
                <w:sz w:val="20"/>
                <w:szCs w:val="20"/>
                <w:lang w:bidi="ar"/>
              </w:rPr>
              <w:t>229</w:t>
            </w:r>
          </w:p>
        </w:tc>
        <w:tc>
          <w:tcPr>
            <w:tcW w:w="8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b/>
                <w:kern w:val="0"/>
                <w:sz w:val="20"/>
                <w:szCs w:val="20"/>
              </w:rPr>
            </w:pPr>
            <w:r>
              <w:rPr>
                <w:rFonts w:ascii="Arial" w:hAnsi="Arial" w:eastAsia="宋体" w:cs="Arial"/>
                <w:b/>
                <w:kern w:val="0"/>
                <w:sz w:val="20"/>
                <w:szCs w:val="20"/>
                <w:lang w:bidi="ar"/>
              </w:rPr>
              <w:t>109</w:t>
            </w:r>
          </w:p>
        </w:tc>
        <w:tc>
          <w:tcPr>
            <w:tcW w:w="566"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b/>
                <w:kern w:val="0"/>
                <w:sz w:val="20"/>
                <w:szCs w:val="20"/>
              </w:rPr>
            </w:pPr>
            <w:r>
              <w:rPr>
                <w:rFonts w:ascii="Arial" w:hAnsi="Arial" w:eastAsia="宋体" w:cs="Arial"/>
                <w:b/>
                <w:kern w:val="0"/>
                <w:sz w:val="20"/>
                <w:szCs w:val="20"/>
                <w:lang w:bidi="ar"/>
              </w:rPr>
              <w:t>190</w:t>
            </w:r>
          </w:p>
        </w:tc>
        <w:tc>
          <w:tcPr>
            <w:tcW w:w="56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b/>
                <w:kern w:val="0"/>
                <w:sz w:val="20"/>
                <w:szCs w:val="20"/>
              </w:rPr>
            </w:pPr>
            <w:r>
              <w:rPr>
                <w:rFonts w:ascii="Arial" w:hAnsi="Arial" w:eastAsia="宋体" w:cs="Arial"/>
                <w:b/>
                <w:kern w:val="0"/>
                <w:sz w:val="20"/>
                <w:szCs w:val="20"/>
                <w:lang w:bidi="ar"/>
              </w:rPr>
              <w:t>59</w:t>
            </w:r>
          </w:p>
        </w:tc>
        <w:tc>
          <w:tcPr>
            <w:tcW w:w="845"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b/>
                <w:kern w:val="0"/>
                <w:sz w:val="20"/>
                <w:szCs w:val="20"/>
              </w:rPr>
            </w:pPr>
            <w:r>
              <w:rPr>
                <w:rFonts w:ascii="Arial" w:hAnsi="Arial" w:eastAsia="宋体" w:cs="Arial"/>
                <w:b/>
                <w:kern w:val="0"/>
                <w:sz w:val="20"/>
                <w:szCs w:val="20"/>
                <w:lang w:bidi="ar"/>
              </w:rPr>
              <w:t>96</w:t>
            </w:r>
          </w:p>
        </w:tc>
        <w:tc>
          <w:tcPr>
            <w:tcW w:w="904" w:type="dxa"/>
            <w:tcBorders>
              <w:top w:val="single" w:color="4BACC6" w:sz="8" w:space="0"/>
              <w:left w:val="single" w:color="4BACC6" w:sz="8" w:space="0"/>
              <w:bottom w:val="single" w:color="4BACC6" w:sz="8" w:space="0"/>
              <w:right w:val="single" w:color="4BACC6" w:sz="8" w:space="0"/>
            </w:tcBorders>
            <w:shd w:val="clear" w:color="auto" w:fill="FFFFFF"/>
            <w:tcMar>
              <w:left w:w="57" w:type="dxa"/>
              <w:right w:w="57" w:type="dxa"/>
            </w:tcMar>
            <w:vAlign w:val="center"/>
          </w:tcPr>
          <w:p>
            <w:pPr>
              <w:widowControl/>
              <w:jc w:val="left"/>
              <w:textAlignment w:val="center"/>
              <w:rPr>
                <w:rFonts w:ascii="Arial" w:hAnsi="Arial" w:eastAsia="宋体" w:cs="Arial"/>
                <w:b/>
                <w:kern w:val="0"/>
                <w:sz w:val="20"/>
                <w:szCs w:val="20"/>
              </w:rPr>
            </w:pPr>
            <w:r>
              <w:rPr>
                <w:rFonts w:ascii="Arial" w:hAnsi="Arial" w:eastAsia="宋体" w:cs="Arial"/>
                <w:b/>
                <w:kern w:val="0"/>
                <w:sz w:val="20"/>
                <w:szCs w:val="20"/>
                <w:lang w:bidi="ar"/>
              </w:rPr>
              <w:t>86.15%</w:t>
            </w:r>
          </w:p>
        </w:tc>
      </w:tr>
    </w:tbl>
    <w:p>
      <w:pPr>
        <w:pStyle w:val="3"/>
        <w:autoSpaceDE w:val="0"/>
        <w:spacing w:line="312" w:lineRule="auto"/>
        <w:rPr>
          <w:rFonts w:ascii="Times New Roman" w:hAnsi="Times New Roman" w:eastAsia="黑体" w:cs="Times New Roman"/>
        </w:rPr>
      </w:pPr>
      <w:bookmarkStart w:id="84" w:name="_Toc501407794"/>
      <w:r>
        <w:rPr>
          <w:rFonts w:hint="eastAsia" w:ascii="Times New Roman" w:hAnsi="Times New Roman" w:eastAsia="黑体" w:cs="Times New Roman"/>
        </w:rPr>
        <w:t>三、2017届毕业生就业流向</w:t>
      </w:r>
      <w:bookmarkEnd w:id="84"/>
    </w:p>
    <w:p>
      <w:pPr>
        <w:pStyle w:val="4"/>
        <w:autoSpaceDE w:val="0"/>
        <w:spacing w:beforeLines="0" w:afterLines="0" w:line="312" w:lineRule="auto"/>
        <w:ind w:firstLine="0" w:firstLineChars="0"/>
        <w:jc w:val="both"/>
        <w:rPr>
          <w:rFonts w:eastAsia="黑体"/>
          <w:bCs w:val="0"/>
          <w:snapToGrid/>
          <w:sz w:val="28"/>
          <w:szCs w:val="28"/>
        </w:rPr>
      </w:pPr>
      <w:bookmarkStart w:id="85" w:name="_Toc501407795"/>
      <w:r>
        <w:rPr>
          <w:rFonts w:hint="eastAsia" w:eastAsia="黑体"/>
          <w:bCs w:val="0"/>
          <w:snapToGrid/>
          <w:sz w:val="28"/>
          <w:szCs w:val="28"/>
        </w:rPr>
        <w:t>（一）2017届分层次毕业生就业地区分布情况</w:t>
      </w:r>
      <w:bookmarkEnd w:id="85"/>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学校2017届毕业生就业地区分布较为广泛，主要集中在河北省内及周边省市（北京、山西、山东、河南）就业。本科毕业生省内就业占比57.93%，专科毕业生省内就业占比70.18%。</w:t>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表1-12 2017届分层次毕业生就业地区分布情况</w:t>
      </w:r>
    </w:p>
    <w:tbl>
      <w:tblPr>
        <w:tblStyle w:val="26"/>
        <w:tblW w:w="8522" w:type="dxa"/>
        <w:tblInd w:w="0" w:type="dxa"/>
        <w:tblLayout w:type="fixed"/>
        <w:tblCellMar>
          <w:top w:w="0" w:type="dxa"/>
          <w:left w:w="108" w:type="dxa"/>
          <w:bottom w:w="0" w:type="dxa"/>
          <w:right w:w="108" w:type="dxa"/>
        </w:tblCellMar>
      </w:tblPr>
      <w:tblGrid>
        <w:gridCol w:w="1704"/>
        <w:gridCol w:w="1704"/>
        <w:gridCol w:w="1704"/>
        <w:gridCol w:w="1705"/>
        <w:gridCol w:w="1705"/>
      </w:tblGrid>
      <w:tr>
        <w:tblPrEx>
          <w:tblLayout w:type="fixed"/>
          <w:tblCellMar>
            <w:top w:w="0" w:type="dxa"/>
            <w:left w:w="108" w:type="dxa"/>
            <w:bottom w:w="0" w:type="dxa"/>
            <w:right w:w="108" w:type="dxa"/>
          </w:tblCellMar>
        </w:tblPrEx>
        <w:tc>
          <w:tcPr>
            <w:tcW w:w="1704" w:type="dxa"/>
            <w:vMerge w:val="restart"/>
            <w:tcBorders>
              <w:top w:val="single" w:color="4BACC6" w:sz="8" w:space="0"/>
              <w:left w:val="single" w:color="4BACC6" w:sz="8" w:space="0"/>
              <w:bottom w:val="single" w:color="FFFFFF" w:sz="4" w:space="0"/>
              <w:right w:val="single" w:color="4BACC6" w:sz="8" w:space="0"/>
            </w:tcBorders>
            <w:shd w:val="clear" w:color="auto" w:fill="4BACC6"/>
            <w:vAlign w:val="center"/>
          </w:tcPr>
          <w:p>
            <w:pPr>
              <w:jc w:val="center"/>
              <w:rPr>
                <w:rFonts w:ascii="Arial" w:hAnsi="Arial" w:eastAsia="宋体"/>
                <w:b/>
                <w:bCs/>
                <w:sz w:val="20"/>
              </w:rPr>
            </w:pPr>
            <w:r>
              <w:rPr>
                <w:rFonts w:hint="eastAsia" w:ascii="Arial" w:hAnsi="Arial" w:eastAsia="宋体"/>
                <w:b/>
                <w:bCs/>
                <w:sz w:val="20"/>
              </w:rPr>
              <w:t>就业地区</w:t>
            </w:r>
          </w:p>
        </w:tc>
        <w:tc>
          <w:tcPr>
            <w:tcW w:w="3408" w:type="dxa"/>
            <w:gridSpan w:val="2"/>
            <w:tcBorders>
              <w:top w:val="single" w:color="4BACC6" w:sz="8" w:space="0"/>
              <w:left w:val="single" w:color="4BACC6" w:sz="8" w:space="0"/>
              <w:bottom w:val="single" w:color="FFFFFF" w:sz="4" w:space="0"/>
              <w:right w:val="single" w:color="4BACC6" w:sz="8" w:space="0"/>
            </w:tcBorders>
            <w:shd w:val="clear" w:color="auto" w:fill="4BACC6"/>
            <w:vAlign w:val="center"/>
          </w:tcPr>
          <w:p>
            <w:pPr>
              <w:jc w:val="center"/>
              <w:rPr>
                <w:rFonts w:ascii="Arial" w:hAnsi="Arial" w:eastAsia="宋体"/>
                <w:b/>
                <w:bCs/>
                <w:sz w:val="20"/>
              </w:rPr>
            </w:pPr>
            <w:r>
              <w:rPr>
                <w:rFonts w:hint="eastAsia" w:ascii="Arial" w:hAnsi="Arial" w:eastAsia="宋体"/>
                <w:b/>
                <w:bCs/>
                <w:sz w:val="20"/>
              </w:rPr>
              <w:t>本科毕业生</w:t>
            </w:r>
          </w:p>
        </w:tc>
        <w:tc>
          <w:tcPr>
            <w:tcW w:w="3410" w:type="dxa"/>
            <w:gridSpan w:val="2"/>
            <w:tcBorders>
              <w:top w:val="single" w:color="4BACC6" w:sz="8" w:space="0"/>
              <w:left w:val="single" w:color="4BACC6" w:sz="8" w:space="0"/>
              <w:bottom w:val="single" w:color="FFFFFF" w:sz="4" w:space="0"/>
              <w:right w:val="single" w:color="4BACC6" w:sz="8" w:space="0"/>
            </w:tcBorders>
            <w:shd w:val="clear" w:color="auto" w:fill="4BACC6"/>
            <w:vAlign w:val="center"/>
          </w:tcPr>
          <w:p>
            <w:pPr>
              <w:jc w:val="center"/>
              <w:rPr>
                <w:rFonts w:ascii="Arial" w:hAnsi="Arial" w:eastAsia="宋体"/>
                <w:b/>
                <w:bCs/>
                <w:sz w:val="20"/>
              </w:rPr>
            </w:pPr>
            <w:r>
              <w:rPr>
                <w:rFonts w:hint="eastAsia" w:ascii="Arial" w:hAnsi="Arial" w:eastAsia="宋体"/>
                <w:b/>
                <w:bCs/>
                <w:sz w:val="20"/>
              </w:rPr>
              <w:t>专科毕业生</w:t>
            </w:r>
          </w:p>
        </w:tc>
      </w:tr>
      <w:tr>
        <w:tblPrEx>
          <w:tblLayout w:type="fixed"/>
          <w:tblCellMar>
            <w:top w:w="0" w:type="dxa"/>
            <w:left w:w="108" w:type="dxa"/>
            <w:bottom w:w="0" w:type="dxa"/>
            <w:right w:w="108" w:type="dxa"/>
          </w:tblCellMar>
        </w:tblPrEx>
        <w:tc>
          <w:tcPr>
            <w:tcW w:w="1704" w:type="dxa"/>
            <w:vMerge w:val="continue"/>
            <w:tcBorders>
              <w:top w:val="single" w:color="FFFFFF" w:sz="4" w:space="0"/>
              <w:left w:val="single" w:color="4BACC6" w:sz="8" w:space="0"/>
              <w:bottom w:val="single" w:color="4BACC6" w:sz="8" w:space="0"/>
              <w:right w:val="single" w:color="4BACC6" w:sz="8" w:space="0"/>
            </w:tcBorders>
            <w:shd w:val="clear" w:color="auto" w:fill="B7DDE8"/>
            <w:vAlign w:val="center"/>
          </w:tcPr>
          <w:p>
            <w:pPr>
              <w:jc w:val="center"/>
              <w:rPr>
                <w:rFonts w:ascii="Arial" w:hAnsi="Arial" w:eastAsia="宋体"/>
                <w:b/>
                <w:bCs/>
                <w:sz w:val="20"/>
              </w:rPr>
            </w:pPr>
          </w:p>
        </w:tc>
        <w:tc>
          <w:tcPr>
            <w:tcW w:w="1704" w:type="dxa"/>
            <w:tcBorders>
              <w:top w:val="single" w:color="FFFFFF" w:sz="4" w:space="0"/>
              <w:left w:val="single" w:color="4BACC6" w:sz="8" w:space="0"/>
              <w:bottom w:val="single" w:color="4BACC6" w:sz="8" w:space="0"/>
              <w:right w:val="single" w:color="4BACC6" w:sz="8" w:space="0"/>
            </w:tcBorders>
            <w:shd w:val="clear" w:color="auto" w:fill="B7DDE8"/>
            <w:vAlign w:val="center"/>
          </w:tcPr>
          <w:p>
            <w:pPr>
              <w:jc w:val="center"/>
              <w:rPr>
                <w:rFonts w:ascii="Arial" w:hAnsi="Arial" w:eastAsia="宋体"/>
                <w:b/>
                <w:bCs/>
                <w:sz w:val="20"/>
              </w:rPr>
            </w:pPr>
            <w:r>
              <w:rPr>
                <w:rFonts w:hint="eastAsia" w:ascii="Arial" w:hAnsi="Arial" w:eastAsia="宋体"/>
                <w:b/>
                <w:bCs/>
                <w:sz w:val="20"/>
              </w:rPr>
              <w:t>人数</w:t>
            </w:r>
          </w:p>
        </w:tc>
        <w:tc>
          <w:tcPr>
            <w:tcW w:w="1704" w:type="dxa"/>
            <w:tcBorders>
              <w:top w:val="single" w:color="FFFFFF" w:sz="4" w:space="0"/>
              <w:left w:val="single" w:color="4BACC6" w:sz="8" w:space="0"/>
              <w:bottom w:val="single" w:color="4BACC6" w:sz="8" w:space="0"/>
              <w:right w:val="single" w:color="4BACC6" w:sz="8" w:space="0"/>
            </w:tcBorders>
            <w:shd w:val="clear" w:color="auto" w:fill="B7DDE8"/>
            <w:vAlign w:val="center"/>
          </w:tcPr>
          <w:p>
            <w:pPr>
              <w:jc w:val="center"/>
              <w:rPr>
                <w:rFonts w:ascii="Arial" w:hAnsi="Arial" w:eastAsia="宋体"/>
                <w:b/>
                <w:bCs/>
                <w:sz w:val="20"/>
              </w:rPr>
            </w:pPr>
            <w:r>
              <w:rPr>
                <w:rFonts w:hint="eastAsia" w:ascii="Arial" w:hAnsi="Arial" w:eastAsia="宋体"/>
                <w:b/>
                <w:bCs/>
                <w:sz w:val="20"/>
              </w:rPr>
              <w:t>比例</w:t>
            </w:r>
          </w:p>
        </w:tc>
        <w:tc>
          <w:tcPr>
            <w:tcW w:w="1705" w:type="dxa"/>
            <w:tcBorders>
              <w:top w:val="single" w:color="FFFFFF" w:sz="4" w:space="0"/>
              <w:left w:val="single" w:color="4BACC6" w:sz="8" w:space="0"/>
              <w:bottom w:val="single" w:color="4BACC6" w:sz="8" w:space="0"/>
              <w:right w:val="single" w:color="4BACC6" w:sz="8" w:space="0"/>
            </w:tcBorders>
            <w:shd w:val="clear" w:color="auto" w:fill="B7DDE8"/>
            <w:vAlign w:val="center"/>
          </w:tcPr>
          <w:p>
            <w:pPr>
              <w:jc w:val="center"/>
              <w:rPr>
                <w:rFonts w:ascii="Arial" w:hAnsi="Arial" w:eastAsia="宋体"/>
                <w:b/>
                <w:bCs/>
                <w:sz w:val="20"/>
              </w:rPr>
            </w:pPr>
            <w:r>
              <w:rPr>
                <w:rFonts w:hint="eastAsia" w:ascii="Arial" w:hAnsi="Arial" w:eastAsia="宋体"/>
                <w:b/>
                <w:bCs/>
                <w:sz w:val="20"/>
              </w:rPr>
              <w:t>人数</w:t>
            </w:r>
          </w:p>
        </w:tc>
        <w:tc>
          <w:tcPr>
            <w:tcW w:w="1705" w:type="dxa"/>
            <w:tcBorders>
              <w:top w:val="single" w:color="FFFFFF" w:sz="4" w:space="0"/>
              <w:left w:val="single" w:color="4BACC6" w:sz="8" w:space="0"/>
              <w:bottom w:val="single" w:color="4BACC6" w:sz="8" w:space="0"/>
              <w:right w:val="single" w:color="4BACC6" w:sz="8" w:space="0"/>
            </w:tcBorders>
            <w:shd w:val="clear" w:color="auto" w:fill="B7DDE8"/>
            <w:vAlign w:val="center"/>
          </w:tcPr>
          <w:p>
            <w:pPr>
              <w:jc w:val="center"/>
              <w:rPr>
                <w:rFonts w:ascii="Arial" w:hAnsi="Arial" w:eastAsia="宋体"/>
                <w:b/>
                <w:bCs/>
                <w:sz w:val="20"/>
              </w:rPr>
            </w:pPr>
            <w:r>
              <w:rPr>
                <w:rFonts w:hint="eastAsia" w:ascii="Arial" w:hAnsi="Arial" w:eastAsia="宋体"/>
                <w:b/>
                <w:bCs/>
                <w:sz w:val="20"/>
              </w:rPr>
              <w:t>比例</w:t>
            </w:r>
          </w:p>
        </w:tc>
      </w:tr>
      <w:tr>
        <w:tblPrEx>
          <w:tblLayout w:type="fixed"/>
          <w:tblCellMar>
            <w:top w:w="0" w:type="dxa"/>
            <w:left w:w="108" w:type="dxa"/>
            <w:bottom w:w="0" w:type="dxa"/>
            <w:right w:w="108" w:type="dxa"/>
          </w:tblCellMar>
        </w:tblPrEx>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河北</w:t>
            </w:r>
            <w:r>
              <w:rPr>
                <w:rFonts w:hint="eastAsia" w:ascii="宋体" w:hAnsi="宋体" w:eastAsia="宋体" w:cs="宋体"/>
                <w:kern w:val="0"/>
                <w:sz w:val="20"/>
                <w:szCs w:val="20"/>
                <w:lang w:bidi="ar"/>
              </w:rPr>
              <w:t>省</w:t>
            </w:r>
          </w:p>
        </w:tc>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1710</w:t>
            </w:r>
          </w:p>
        </w:tc>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57.93%</w:t>
            </w:r>
          </w:p>
        </w:tc>
        <w:tc>
          <w:tcPr>
            <w:tcW w:w="1705"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419</w:t>
            </w:r>
          </w:p>
        </w:tc>
        <w:tc>
          <w:tcPr>
            <w:tcW w:w="1705"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70.18%</w:t>
            </w:r>
          </w:p>
        </w:tc>
      </w:tr>
      <w:tr>
        <w:tblPrEx>
          <w:tblLayout w:type="fixed"/>
          <w:tblCellMar>
            <w:top w:w="0" w:type="dxa"/>
            <w:left w:w="108" w:type="dxa"/>
            <w:bottom w:w="0" w:type="dxa"/>
            <w:right w:w="108" w:type="dxa"/>
          </w:tblCellMar>
        </w:tblPrEx>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北京</w:t>
            </w:r>
            <w:r>
              <w:rPr>
                <w:rFonts w:hint="eastAsia" w:ascii="宋体" w:hAnsi="宋体" w:eastAsia="宋体" w:cs="宋体"/>
                <w:kern w:val="0"/>
                <w:sz w:val="20"/>
                <w:szCs w:val="20"/>
                <w:lang w:bidi="ar"/>
              </w:rPr>
              <w:t>市</w:t>
            </w:r>
          </w:p>
        </w:tc>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112</w:t>
            </w:r>
          </w:p>
        </w:tc>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3.79%</w:t>
            </w:r>
          </w:p>
        </w:tc>
        <w:tc>
          <w:tcPr>
            <w:tcW w:w="1705"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23</w:t>
            </w:r>
          </w:p>
        </w:tc>
        <w:tc>
          <w:tcPr>
            <w:tcW w:w="1705"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3.85%</w:t>
            </w:r>
          </w:p>
        </w:tc>
      </w:tr>
      <w:tr>
        <w:tblPrEx>
          <w:tblLayout w:type="fixed"/>
          <w:tblCellMar>
            <w:top w:w="0" w:type="dxa"/>
            <w:left w:w="108" w:type="dxa"/>
            <w:bottom w:w="0" w:type="dxa"/>
            <w:right w:w="108" w:type="dxa"/>
          </w:tblCellMar>
        </w:tblPrEx>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安徽</w:t>
            </w:r>
            <w:r>
              <w:rPr>
                <w:rFonts w:hint="eastAsia" w:ascii="宋体" w:hAnsi="宋体" w:eastAsia="宋体" w:cs="宋体"/>
                <w:kern w:val="0"/>
                <w:sz w:val="20"/>
                <w:szCs w:val="20"/>
                <w:lang w:bidi="ar"/>
              </w:rPr>
              <w:t>省</w:t>
            </w:r>
          </w:p>
        </w:tc>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57</w:t>
            </w:r>
          </w:p>
        </w:tc>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1.93%</w:t>
            </w:r>
          </w:p>
        </w:tc>
        <w:tc>
          <w:tcPr>
            <w:tcW w:w="1705"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5</w:t>
            </w:r>
          </w:p>
        </w:tc>
        <w:tc>
          <w:tcPr>
            <w:tcW w:w="1705"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0.84%</w:t>
            </w:r>
          </w:p>
        </w:tc>
      </w:tr>
      <w:tr>
        <w:tblPrEx>
          <w:tblLayout w:type="fixed"/>
          <w:tblCellMar>
            <w:top w:w="0" w:type="dxa"/>
            <w:left w:w="108" w:type="dxa"/>
            <w:bottom w:w="0" w:type="dxa"/>
            <w:right w:w="108" w:type="dxa"/>
          </w:tblCellMar>
        </w:tblPrEx>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甘肃</w:t>
            </w:r>
            <w:r>
              <w:rPr>
                <w:rFonts w:hint="eastAsia" w:ascii="宋体" w:hAnsi="宋体" w:eastAsia="宋体" w:cs="宋体"/>
                <w:kern w:val="0"/>
                <w:sz w:val="20"/>
                <w:szCs w:val="20"/>
                <w:lang w:bidi="ar"/>
              </w:rPr>
              <w:t>省</w:t>
            </w:r>
          </w:p>
        </w:tc>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39</w:t>
            </w:r>
          </w:p>
        </w:tc>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1.32%</w:t>
            </w:r>
          </w:p>
        </w:tc>
        <w:tc>
          <w:tcPr>
            <w:tcW w:w="1705"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2</w:t>
            </w:r>
          </w:p>
        </w:tc>
        <w:tc>
          <w:tcPr>
            <w:tcW w:w="1705"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0.34%</w:t>
            </w:r>
          </w:p>
        </w:tc>
      </w:tr>
      <w:tr>
        <w:tblPrEx>
          <w:tblLayout w:type="fixed"/>
          <w:tblCellMar>
            <w:top w:w="0" w:type="dxa"/>
            <w:left w:w="108" w:type="dxa"/>
            <w:bottom w:w="0" w:type="dxa"/>
            <w:right w:w="108" w:type="dxa"/>
          </w:tblCellMar>
        </w:tblPrEx>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广东</w:t>
            </w:r>
            <w:r>
              <w:rPr>
                <w:rFonts w:hint="eastAsia" w:ascii="宋体" w:hAnsi="宋体" w:eastAsia="宋体" w:cs="宋体"/>
                <w:kern w:val="0"/>
                <w:sz w:val="20"/>
                <w:szCs w:val="20"/>
                <w:lang w:bidi="ar"/>
              </w:rPr>
              <w:t>省</w:t>
            </w:r>
          </w:p>
        </w:tc>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4</w:t>
            </w:r>
          </w:p>
        </w:tc>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0.14%</w:t>
            </w:r>
          </w:p>
        </w:tc>
        <w:tc>
          <w:tcPr>
            <w:tcW w:w="1705" w:type="dxa"/>
            <w:tcBorders>
              <w:top w:val="single" w:color="4BACC6" w:sz="8" w:space="0"/>
              <w:left w:val="single" w:color="4BACC6" w:sz="8" w:space="0"/>
              <w:bottom w:val="single" w:color="4BACC6" w:sz="8" w:space="0"/>
              <w:right w:val="single" w:color="4BACC6" w:sz="8" w:space="0"/>
            </w:tcBorders>
            <w:shd w:val="clear" w:color="auto" w:fill="FFFFFF"/>
            <w:vAlign w:val="bottom"/>
          </w:tcPr>
          <w:p>
            <w:pPr>
              <w:jc w:val="center"/>
              <w:rPr>
                <w:rFonts w:ascii="Arial" w:hAnsi="Arial" w:eastAsia="宋体" w:cs="Arial"/>
                <w:sz w:val="20"/>
                <w:szCs w:val="20"/>
              </w:rPr>
            </w:pPr>
          </w:p>
        </w:tc>
        <w:tc>
          <w:tcPr>
            <w:tcW w:w="1705" w:type="dxa"/>
            <w:tcBorders>
              <w:top w:val="single" w:color="4BACC6" w:sz="8" w:space="0"/>
              <w:left w:val="single" w:color="4BACC6" w:sz="8" w:space="0"/>
              <w:bottom w:val="single" w:color="4BACC6" w:sz="8" w:space="0"/>
              <w:right w:val="single" w:color="4BACC6" w:sz="8" w:space="0"/>
            </w:tcBorders>
            <w:shd w:val="clear" w:color="auto" w:fill="FFFFFF"/>
            <w:vAlign w:val="bottom"/>
          </w:tcPr>
          <w:p>
            <w:pPr>
              <w:jc w:val="center"/>
              <w:rPr>
                <w:rFonts w:ascii="Arial" w:hAnsi="Arial" w:eastAsia="宋体" w:cs="Arial"/>
                <w:sz w:val="20"/>
                <w:szCs w:val="20"/>
              </w:rPr>
            </w:pPr>
          </w:p>
        </w:tc>
      </w:tr>
      <w:tr>
        <w:tblPrEx>
          <w:tblLayout w:type="fixed"/>
          <w:tblCellMar>
            <w:top w:w="0" w:type="dxa"/>
            <w:left w:w="108" w:type="dxa"/>
            <w:bottom w:w="0" w:type="dxa"/>
            <w:right w:w="108" w:type="dxa"/>
          </w:tblCellMar>
        </w:tblPrEx>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广西</w:t>
            </w:r>
            <w:r>
              <w:rPr>
                <w:rFonts w:hint="eastAsia" w:ascii="宋体" w:hAnsi="宋体" w:eastAsia="宋体" w:cs="宋体"/>
                <w:kern w:val="0"/>
                <w:sz w:val="20"/>
                <w:szCs w:val="20"/>
                <w:lang w:bidi="ar"/>
              </w:rPr>
              <w:t>省</w:t>
            </w:r>
          </w:p>
        </w:tc>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34</w:t>
            </w:r>
          </w:p>
        </w:tc>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1.15%</w:t>
            </w:r>
          </w:p>
        </w:tc>
        <w:tc>
          <w:tcPr>
            <w:tcW w:w="1705"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w:t>
            </w:r>
          </w:p>
        </w:tc>
        <w:tc>
          <w:tcPr>
            <w:tcW w:w="1705"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0.17%</w:t>
            </w:r>
          </w:p>
        </w:tc>
      </w:tr>
      <w:tr>
        <w:tblPrEx>
          <w:tblLayout w:type="fixed"/>
          <w:tblCellMar>
            <w:top w:w="0" w:type="dxa"/>
            <w:left w:w="108" w:type="dxa"/>
            <w:bottom w:w="0" w:type="dxa"/>
            <w:right w:w="108" w:type="dxa"/>
          </w:tblCellMar>
        </w:tblPrEx>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贵州</w:t>
            </w:r>
            <w:r>
              <w:rPr>
                <w:rFonts w:hint="eastAsia" w:ascii="宋体" w:hAnsi="宋体" w:eastAsia="宋体" w:cs="宋体"/>
                <w:kern w:val="0"/>
                <w:sz w:val="20"/>
                <w:szCs w:val="20"/>
                <w:lang w:bidi="ar"/>
              </w:rPr>
              <w:t>省</w:t>
            </w:r>
          </w:p>
        </w:tc>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22</w:t>
            </w:r>
          </w:p>
        </w:tc>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0.75%</w:t>
            </w:r>
          </w:p>
        </w:tc>
        <w:tc>
          <w:tcPr>
            <w:tcW w:w="1705" w:type="dxa"/>
            <w:tcBorders>
              <w:top w:val="single" w:color="4BACC6" w:sz="8" w:space="0"/>
              <w:left w:val="single" w:color="4BACC6" w:sz="8" w:space="0"/>
              <w:bottom w:val="single" w:color="4BACC6" w:sz="8" w:space="0"/>
              <w:right w:val="single" w:color="4BACC6" w:sz="8" w:space="0"/>
            </w:tcBorders>
            <w:shd w:val="clear" w:color="auto" w:fill="FFFFFF"/>
            <w:vAlign w:val="bottom"/>
          </w:tcPr>
          <w:p>
            <w:pPr>
              <w:jc w:val="center"/>
              <w:rPr>
                <w:rFonts w:ascii="Arial" w:hAnsi="Arial" w:eastAsia="宋体" w:cs="Arial"/>
                <w:sz w:val="20"/>
                <w:szCs w:val="20"/>
              </w:rPr>
            </w:pPr>
          </w:p>
        </w:tc>
        <w:tc>
          <w:tcPr>
            <w:tcW w:w="1705" w:type="dxa"/>
            <w:tcBorders>
              <w:top w:val="single" w:color="4BACC6" w:sz="8" w:space="0"/>
              <w:left w:val="single" w:color="4BACC6" w:sz="8" w:space="0"/>
              <w:bottom w:val="single" w:color="4BACC6" w:sz="8" w:space="0"/>
              <w:right w:val="single" w:color="4BACC6" w:sz="8" w:space="0"/>
            </w:tcBorders>
            <w:shd w:val="clear" w:color="auto" w:fill="FFFFFF"/>
            <w:vAlign w:val="bottom"/>
          </w:tcPr>
          <w:p>
            <w:pPr>
              <w:jc w:val="center"/>
              <w:rPr>
                <w:rFonts w:ascii="Arial" w:hAnsi="Arial" w:eastAsia="宋体" w:cs="Arial"/>
                <w:sz w:val="20"/>
                <w:szCs w:val="20"/>
              </w:rPr>
            </w:pPr>
          </w:p>
        </w:tc>
      </w:tr>
      <w:tr>
        <w:tblPrEx>
          <w:tblLayout w:type="fixed"/>
          <w:tblCellMar>
            <w:top w:w="0" w:type="dxa"/>
            <w:left w:w="108" w:type="dxa"/>
            <w:bottom w:w="0" w:type="dxa"/>
            <w:right w:w="108" w:type="dxa"/>
          </w:tblCellMar>
        </w:tblPrEx>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河南</w:t>
            </w:r>
            <w:r>
              <w:rPr>
                <w:rFonts w:hint="eastAsia" w:ascii="宋体" w:hAnsi="宋体" w:eastAsia="宋体" w:cs="宋体"/>
                <w:kern w:val="0"/>
                <w:sz w:val="20"/>
                <w:szCs w:val="20"/>
                <w:lang w:bidi="ar"/>
              </w:rPr>
              <w:t>省</w:t>
            </w:r>
          </w:p>
        </w:tc>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191</w:t>
            </w:r>
          </w:p>
        </w:tc>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6.47%</w:t>
            </w:r>
          </w:p>
        </w:tc>
        <w:tc>
          <w:tcPr>
            <w:tcW w:w="1705"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33</w:t>
            </w:r>
          </w:p>
        </w:tc>
        <w:tc>
          <w:tcPr>
            <w:tcW w:w="1705"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5.53%</w:t>
            </w:r>
          </w:p>
        </w:tc>
      </w:tr>
      <w:tr>
        <w:tblPrEx>
          <w:tblLayout w:type="fixed"/>
          <w:tblCellMar>
            <w:top w:w="0" w:type="dxa"/>
            <w:left w:w="108" w:type="dxa"/>
            <w:bottom w:w="0" w:type="dxa"/>
            <w:right w:w="108" w:type="dxa"/>
          </w:tblCellMar>
        </w:tblPrEx>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黑龙</w:t>
            </w:r>
            <w:r>
              <w:rPr>
                <w:rFonts w:hint="eastAsia" w:ascii="宋体" w:hAnsi="宋体" w:eastAsia="宋体" w:cs="宋体"/>
                <w:kern w:val="0"/>
                <w:sz w:val="20"/>
                <w:szCs w:val="20"/>
                <w:lang w:bidi="ar"/>
              </w:rPr>
              <w:t>江省</w:t>
            </w:r>
          </w:p>
        </w:tc>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60</w:t>
            </w:r>
          </w:p>
        </w:tc>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2.03%</w:t>
            </w:r>
          </w:p>
        </w:tc>
        <w:tc>
          <w:tcPr>
            <w:tcW w:w="1705"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10</w:t>
            </w:r>
          </w:p>
        </w:tc>
        <w:tc>
          <w:tcPr>
            <w:tcW w:w="1705"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1.68%</w:t>
            </w:r>
          </w:p>
        </w:tc>
      </w:tr>
      <w:tr>
        <w:tblPrEx>
          <w:tblLayout w:type="fixed"/>
          <w:tblCellMar>
            <w:top w:w="0" w:type="dxa"/>
            <w:left w:w="108" w:type="dxa"/>
            <w:bottom w:w="0" w:type="dxa"/>
            <w:right w:w="108" w:type="dxa"/>
          </w:tblCellMar>
        </w:tblPrEx>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湖北</w:t>
            </w:r>
            <w:r>
              <w:rPr>
                <w:rFonts w:hint="eastAsia" w:ascii="宋体" w:hAnsi="宋体" w:eastAsia="宋体" w:cs="宋体"/>
                <w:kern w:val="0"/>
                <w:sz w:val="20"/>
                <w:szCs w:val="20"/>
                <w:lang w:bidi="ar"/>
              </w:rPr>
              <w:t>省</w:t>
            </w:r>
          </w:p>
        </w:tc>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15</w:t>
            </w:r>
          </w:p>
        </w:tc>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0.51%</w:t>
            </w:r>
          </w:p>
        </w:tc>
        <w:tc>
          <w:tcPr>
            <w:tcW w:w="1705"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2</w:t>
            </w:r>
          </w:p>
        </w:tc>
        <w:tc>
          <w:tcPr>
            <w:tcW w:w="1705"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0.34%</w:t>
            </w:r>
          </w:p>
        </w:tc>
      </w:tr>
      <w:tr>
        <w:tblPrEx>
          <w:tblLayout w:type="fixed"/>
          <w:tblCellMar>
            <w:top w:w="0" w:type="dxa"/>
            <w:left w:w="108" w:type="dxa"/>
            <w:bottom w:w="0" w:type="dxa"/>
            <w:right w:w="108" w:type="dxa"/>
          </w:tblCellMar>
        </w:tblPrEx>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吉林</w:t>
            </w:r>
            <w:r>
              <w:rPr>
                <w:rFonts w:hint="eastAsia" w:ascii="宋体" w:hAnsi="宋体" w:eastAsia="宋体" w:cs="宋体"/>
                <w:kern w:val="0"/>
                <w:sz w:val="20"/>
                <w:szCs w:val="20"/>
                <w:lang w:bidi="ar"/>
              </w:rPr>
              <w:t>省</w:t>
            </w:r>
          </w:p>
        </w:tc>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9</w:t>
            </w:r>
          </w:p>
        </w:tc>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0.30%</w:t>
            </w:r>
          </w:p>
        </w:tc>
        <w:tc>
          <w:tcPr>
            <w:tcW w:w="1705" w:type="dxa"/>
            <w:tcBorders>
              <w:top w:val="single" w:color="4BACC6" w:sz="8" w:space="0"/>
              <w:left w:val="single" w:color="4BACC6" w:sz="8" w:space="0"/>
              <w:bottom w:val="single" w:color="4BACC6" w:sz="8" w:space="0"/>
              <w:right w:val="single" w:color="4BACC6" w:sz="8" w:space="0"/>
            </w:tcBorders>
            <w:shd w:val="clear" w:color="auto" w:fill="FFFFFF"/>
            <w:vAlign w:val="bottom"/>
          </w:tcPr>
          <w:p>
            <w:pPr>
              <w:jc w:val="center"/>
              <w:rPr>
                <w:rFonts w:ascii="Arial" w:hAnsi="Arial" w:eastAsia="宋体" w:cs="Arial"/>
                <w:sz w:val="20"/>
                <w:szCs w:val="20"/>
              </w:rPr>
            </w:pPr>
          </w:p>
        </w:tc>
        <w:tc>
          <w:tcPr>
            <w:tcW w:w="1705" w:type="dxa"/>
            <w:tcBorders>
              <w:top w:val="single" w:color="4BACC6" w:sz="8" w:space="0"/>
              <w:left w:val="single" w:color="4BACC6" w:sz="8" w:space="0"/>
              <w:bottom w:val="single" w:color="4BACC6" w:sz="8" w:space="0"/>
              <w:right w:val="single" w:color="4BACC6" w:sz="8" w:space="0"/>
            </w:tcBorders>
            <w:shd w:val="clear" w:color="auto" w:fill="FFFFFF"/>
            <w:vAlign w:val="bottom"/>
          </w:tcPr>
          <w:p>
            <w:pPr>
              <w:jc w:val="center"/>
              <w:rPr>
                <w:rFonts w:ascii="Arial" w:hAnsi="Arial" w:eastAsia="宋体" w:cs="Arial"/>
                <w:sz w:val="20"/>
                <w:szCs w:val="20"/>
              </w:rPr>
            </w:pPr>
          </w:p>
        </w:tc>
      </w:tr>
      <w:tr>
        <w:tblPrEx>
          <w:tblLayout w:type="fixed"/>
          <w:tblCellMar>
            <w:top w:w="0" w:type="dxa"/>
            <w:left w:w="108" w:type="dxa"/>
            <w:bottom w:w="0" w:type="dxa"/>
            <w:right w:w="108" w:type="dxa"/>
          </w:tblCellMar>
        </w:tblPrEx>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江苏</w:t>
            </w:r>
            <w:r>
              <w:rPr>
                <w:rFonts w:hint="eastAsia" w:ascii="宋体" w:hAnsi="宋体" w:eastAsia="宋体" w:cs="宋体"/>
                <w:kern w:val="0"/>
                <w:sz w:val="20"/>
                <w:szCs w:val="20"/>
                <w:lang w:bidi="ar"/>
              </w:rPr>
              <w:t>省</w:t>
            </w:r>
          </w:p>
        </w:tc>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45</w:t>
            </w:r>
          </w:p>
        </w:tc>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1.52%</w:t>
            </w:r>
          </w:p>
        </w:tc>
        <w:tc>
          <w:tcPr>
            <w:tcW w:w="1705"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6</w:t>
            </w:r>
          </w:p>
        </w:tc>
        <w:tc>
          <w:tcPr>
            <w:tcW w:w="1705"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1.01%</w:t>
            </w:r>
          </w:p>
        </w:tc>
      </w:tr>
      <w:tr>
        <w:tblPrEx>
          <w:tblLayout w:type="fixed"/>
          <w:tblCellMar>
            <w:top w:w="0" w:type="dxa"/>
            <w:left w:w="108" w:type="dxa"/>
            <w:bottom w:w="0" w:type="dxa"/>
            <w:right w:w="108" w:type="dxa"/>
          </w:tblCellMar>
        </w:tblPrEx>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江西</w:t>
            </w:r>
            <w:r>
              <w:rPr>
                <w:rFonts w:hint="eastAsia" w:ascii="宋体" w:hAnsi="宋体" w:eastAsia="宋体" w:cs="宋体"/>
                <w:kern w:val="0"/>
                <w:sz w:val="20"/>
                <w:szCs w:val="20"/>
                <w:lang w:bidi="ar"/>
              </w:rPr>
              <w:t>省</w:t>
            </w:r>
          </w:p>
        </w:tc>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40</w:t>
            </w:r>
          </w:p>
        </w:tc>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1.36%</w:t>
            </w:r>
          </w:p>
        </w:tc>
        <w:tc>
          <w:tcPr>
            <w:tcW w:w="1705" w:type="dxa"/>
            <w:tcBorders>
              <w:top w:val="single" w:color="4BACC6" w:sz="8" w:space="0"/>
              <w:left w:val="single" w:color="4BACC6" w:sz="8" w:space="0"/>
              <w:bottom w:val="single" w:color="4BACC6" w:sz="8" w:space="0"/>
              <w:right w:val="single" w:color="4BACC6" w:sz="8" w:space="0"/>
            </w:tcBorders>
            <w:shd w:val="clear" w:color="auto" w:fill="FFFFFF"/>
            <w:vAlign w:val="bottom"/>
          </w:tcPr>
          <w:p>
            <w:pPr>
              <w:jc w:val="center"/>
              <w:rPr>
                <w:rFonts w:ascii="Arial" w:hAnsi="Arial" w:eastAsia="宋体" w:cs="Arial"/>
                <w:sz w:val="20"/>
                <w:szCs w:val="20"/>
              </w:rPr>
            </w:pPr>
          </w:p>
        </w:tc>
        <w:tc>
          <w:tcPr>
            <w:tcW w:w="1705" w:type="dxa"/>
            <w:tcBorders>
              <w:top w:val="single" w:color="4BACC6" w:sz="8" w:space="0"/>
              <w:left w:val="single" w:color="4BACC6" w:sz="8" w:space="0"/>
              <w:bottom w:val="single" w:color="4BACC6" w:sz="8" w:space="0"/>
              <w:right w:val="single" w:color="4BACC6" w:sz="8" w:space="0"/>
            </w:tcBorders>
            <w:shd w:val="clear" w:color="auto" w:fill="FFFFFF"/>
            <w:vAlign w:val="bottom"/>
          </w:tcPr>
          <w:p>
            <w:pPr>
              <w:jc w:val="center"/>
              <w:rPr>
                <w:rFonts w:ascii="Arial" w:hAnsi="Arial" w:eastAsia="宋体" w:cs="Arial"/>
                <w:sz w:val="20"/>
                <w:szCs w:val="20"/>
              </w:rPr>
            </w:pPr>
          </w:p>
        </w:tc>
      </w:tr>
      <w:tr>
        <w:tblPrEx>
          <w:tblLayout w:type="fixed"/>
          <w:tblCellMar>
            <w:top w:w="0" w:type="dxa"/>
            <w:left w:w="108" w:type="dxa"/>
            <w:bottom w:w="0" w:type="dxa"/>
            <w:right w:w="108" w:type="dxa"/>
          </w:tblCellMar>
        </w:tblPrEx>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辽宁</w:t>
            </w:r>
            <w:r>
              <w:rPr>
                <w:rFonts w:hint="eastAsia" w:ascii="宋体" w:hAnsi="宋体" w:eastAsia="宋体" w:cs="宋体"/>
                <w:kern w:val="0"/>
                <w:sz w:val="20"/>
                <w:szCs w:val="20"/>
                <w:lang w:bidi="ar"/>
              </w:rPr>
              <w:t>省</w:t>
            </w:r>
          </w:p>
        </w:tc>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12</w:t>
            </w:r>
          </w:p>
        </w:tc>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0.41%</w:t>
            </w:r>
          </w:p>
        </w:tc>
        <w:tc>
          <w:tcPr>
            <w:tcW w:w="1705" w:type="dxa"/>
            <w:tcBorders>
              <w:top w:val="single" w:color="4BACC6" w:sz="8" w:space="0"/>
              <w:left w:val="single" w:color="4BACC6" w:sz="8" w:space="0"/>
              <w:bottom w:val="single" w:color="4BACC6" w:sz="8" w:space="0"/>
              <w:right w:val="single" w:color="4BACC6" w:sz="8" w:space="0"/>
            </w:tcBorders>
            <w:shd w:val="clear" w:color="auto" w:fill="B7DDE8"/>
            <w:vAlign w:val="bottom"/>
          </w:tcPr>
          <w:p>
            <w:pPr>
              <w:jc w:val="center"/>
              <w:rPr>
                <w:rFonts w:ascii="Arial" w:hAnsi="Arial" w:eastAsia="宋体" w:cs="Arial"/>
                <w:sz w:val="20"/>
                <w:szCs w:val="20"/>
              </w:rPr>
            </w:pPr>
          </w:p>
        </w:tc>
        <w:tc>
          <w:tcPr>
            <w:tcW w:w="1705" w:type="dxa"/>
            <w:tcBorders>
              <w:top w:val="single" w:color="4BACC6" w:sz="8" w:space="0"/>
              <w:left w:val="single" w:color="4BACC6" w:sz="8" w:space="0"/>
              <w:bottom w:val="single" w:color="4BACC6" w:sz="8" w:space="0"/>
              <w:right w:val="single" w:color="4BACC6" w:sz="8" w:space="0"/>
            </w:tcBorders>
            <w:shd w:val="clear" w:color="auto" w:fill="B7DDE8"/>
            <w:vAlign w:val="bottom"/>
          </w:tcPr>
          <w:p>
            <w:pPr>
              <w:jc w:val="center"/>
              <w:rPr>
                <w:rFonts w:ascii="Arial" w:hAnsi="Arial" w:eastAsia="宋体" w:cs="Arial"/>
                <w:sz w:val="20"/>
                <w:szCs w:val="20"/>
              </w:rPr>
            </w:pPr>
          </w:p>
        </w:tc>
      </w:tr>
      <w:tr>
        <w:tblPrEx>
          <w:tblLayout w:type="fixed"/>
          <w:tblCellMar>
            <w:top w:w="0" w:type="dxa"/>
            <w:left w:w="108" w:type="dxa"/>
            <w:bottom w:w="0" w:type="dxa"/>
            <w:right w:w="108" w:type="dxa"/>
          </w:tblCellMar>
        </w:tblPrEx>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内蒙</w:t>
            </w:r>
            <w:r>
              <w:rPr>
                <w:rFonts w:hint="eastAsia" w:ascii="宋体" w:hAnsi="宋体" w:eastAsia="宋体" w:cs="宋体"/>
                <w:kern w:val="0"/>
                <w:sz w:val="20"/>
                <w:szCs w:val="20"/>
                <w:lang w:bidi="ar"/>
              </w:rPr>
              <w:t>自治区</w:t>
            </w:r>
          </w:p>
        </w:tc>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31</w:t>
            </w:r>
          </w:p>
        </w:tc>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1.05%</w:t>
            </w:r>
          </w:p>
        </w:tc>
        <w:tc>
          <w:tcPr>
            <w:tcW w:w="1705" w:type="dxa"/>
            <w:tcBorders>
              <w:top w:val="single" w:color="4BACC6" w:sz="8" w:space="0"/>
              <w:left w:val="single" w:color="4BACC6" w:sz="8" w:space="0"/>
              <w:bottom w:val="single" w:color="4BACC6" w:sz="8" w:space="0"/>
              <w:right w:val="single" w:color="4BACC6" w:sz="8" w:space="0"/>
            </w:tcBorders>
            <w:shd w:val="clear" w:color="auto" w:fill="FFFFFF"/>
            <w:vAlign w:val="bottom"/>
          </w:tcPr>
          <w:p>
            <w:pPr>
              <w:jc w:val="center"/>
              <w:rPr>
                <w:rFonts w:ascii="Arial" w:hAnsi="Arial" w:eastAsia="宋体" w:cs="Arial"/>
                <w:sz w:val="20"/>
                <w:szCs w:val="20"/>
              </w:rPr>
            </w:pPr>
          </w:p>
        </w:tc>
        <w:tc>
          <w:tcPr>
            <w:tcW w:w="1705" w:type="dxa"/>
            <w:tcBorders>
              <w:top w:val="single" w:color="4BACC6" w:sz="8" w:space="0"/>
              <w:left w:val="single" w:color="4BACC6" w:sz="8" w:space="0"/>
              <w:bottom w:val="single" w:color="4BACC6" w:sz="8" w:space="0"/>
              <w:right w:val="single" w:color="4BACC6" w:sz="8" w:space="0"/>
            </w:tcBorders>
            <w:shd w:val="clear" w:color="auto" w:fill="FFFFFF"/>
            <w:vAlign w:val="bottom"/>
          </w:tcPr>
          <w:p>
            <w:pPr>
              <w:jc w:val="center"/>
              <w:rPr>
                <w:rFonts w:ascii="Arial" w:hAnsi="Arial" w:eastAsia="宋体" w:cs="Arial"/>
                <w:sz w:val="20"/>
                <w:szCs w:val="20"/>
              </w:rPr>
            </w:pPr>
          </w:p>
        </w:tc>
      </w:tr>
      <w:tr>
        <w:tblPrEx>
          <w:tblLayout w:type="fixed"/>
          <w:tblCellMar>
            <w:top w:w="0" w:type="dxa"/>
            <w:left w:w="108" w:type="dxa"/>
            <w:bottom w:w="0" w:type="dxa"/>
            <w:right w:w="108" w:type="dxa"/>
          </w:tblCellMar>
        </w:tblPrEx>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宁夏</w:t>
            </w:r>
          </w:p>
        </w:tc>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3</w:t>
            </w:r>
          </w:p>
        </w:tc>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0.10%</w:t>
            </w:r>
          </w:p>
        </w:tc>
        <w:tc>
          <w:tcPr>
            <w:tcW w:w="1705" w:type="dxa"/>
            <w:tcBorders>
              <w:top w:val="single" w:color="4BACC6" w:sz="8" w:space="0"/>
              <w:left w:val="single" w:color="4BACC6" w:sz="8" w:space="0"/>
              <w:bottom w:val="single" w:color="4BACC6" w:sz="8" w:space="0"/>
              <w:right w:val="single" w:color="4BACC6" w:sz="8" w:space="0"/>
            </w:tcBorders>
            <w:shd w:val="clear" w:color="auto" w:fill="B7DDE8"/>
            <w:vAlign w:val="bottom"/>
          </w:tcPr>
          <w:p>
            <w:pPr>
              <w:jc w:val="center"/>
              <w:rPr>
                <w:rFonts w:ascii="Arial" w:hAnsi="Arial" w:eastAsia="宋体" w:cs="Arial"/>
                <w:sz w:val="20"/>
                <w:szCs w:val="20"/>
              </w:rPr>
            </w:pPr>
          </w:p>
        </w:tc>
        <w:tc>
          <w:tcPr>
            <w:tcW w:w="1705" w:type="dxa"/>
            <w:tcBorders>
              <w:top w:val="single" w:color="4BACC6" w:sz="8" w:space="0"/>
              <w:left w:val="single" w:color="4BACC6" w:sz="8" w:space="0"/>
              <w:bottom w:val="single" w:color="4BACC6" w:sz="8" w:space="0"/>
              <w:right w:val="single" w:color="4BACC6" w:sz="8" w:space="0"/>
            </w:tcBorders>
            <w:shd w:val="clear" w:color="auto" w:fill="B7DDE8"/>
            <w:vAlign w:val="bottom"/>
          </w:tcPr>
          <w:p>
            <w:pPr>
              <w:jc w:val="center"/>
              <w:rPr>
                <w:rFonts w:ascii="Arial" w:hAnsi="Arial" w:eastAsia="宋体" w:cs="Arial"/>
                <w:sz w:val="20"/>
                <w:szCs w:val="20"/>
              </w:rPr>
            </w:pPr>
          </w:p>
        </w:tc>
      </w:tr>
      <w:tr>
        <w:tblPrEx>
          <w:tblLayout w:type="fixed"/>
          <w:tblCellMar>
            <w:top w:w="0" w:type="dxa"/>
            <w:left w:w="108" w:type="dxa"/>
            <w:bottom w:w="0" w:type="dxa"/>
            <w:right w:w="108" w:type="dxa"/>
          </w:tblCellMar>
        </w:tblPrEx>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青海</w:t>
            </w:r>
          </w:p>
        </w:tc>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2</w:t>
            </w:r>
          </w:p>
        </w:tc>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0.07%</w:t>
            </w:r>
          </w:p>
        </w:tc>
        <w:tc>
          <w:tcPr>
            <w:tcW w:w="1705" w:type="dxa"/>
            <w:tcBorders>
              <w:top w:val="single" w:color="4BACC6" w:sz="8" w:space="0"/>
              <w:left w:val="single" w:color="4BACC6" w:sz="8" w:space="0"/>
              <w:bottom w:val="single" w:color="4BACC6" w:sz="8" w:space="0"/>
              <w:right w:val="single" w:color="4BACC6" w:sz="8" w:space="0"/>
            </w:tcBorders>
            <w:shd w:val="clear" w:color="auto" w:fill="FFFFFF"/>
            <w:vAlign w:val="bottom"/>
          </w:tcPr>
          <w:p>
            <w:pPr>
              <w:jc w:val="center"/>
              <w:rPr>
                <w:rFonts w:ascii="Arial" w:hAnsi="Arial" w:eastAsia="宋体" w:cs="Arial"/>
                <w:sz w:val="20"/>
                <w:szCs w:val="20"/>
              </w:rPr>
            </w:pPr>
          </w:p>
        </w:tc>
        <w:tc>
          <w:tcPr>
            <w:tcW w:w="1705" w:type="dxa"/>
            <w:tcBorders>
              <w:top w:val="single" w:color="4BACC6" w:sz="8" w:space="0"/>
              <w:left w:val="single" w:color="4BACC6" w:sz="8" w:space="0"/>
              <w:bottom w:val="single" w:color="4BACC6" w:sz="8" w:space="0"/>
              <w:right w:val="single" w:color="4BACC6" w:sz="8" w:space="0"/>
            </w:tcBorders>
            <w:shd w:val="clear" w:color="auto" w:fill="FFFFFF"/>
            <w:vAlign w:val="bottom"/>
          </w:tcPr>
          <w:p>
            <w:pPr>
              <w:jc w:val="center"/>
              <w:rPr>
                <w:rFonts w:ascii="Arial" w:hAnsi="Arial" w:eastAsia="宋体" w:cs="Arial"/>
                <w:sz w:val="20"/>
                <w:szCs w:val="20"/>
              </w:rPr>
            </w:pPr>
          </w:p>
        </w:tc>
      </w:tr>
      <w:tr>
        <w:tblPrEx>
          <w:tblLayout w:type="fixed"/>
          <w:tblCellMar>
            <w:top w:w="0" w:type="dxa"/>
            <w:left w:w="108" w:type="dxa"/>
            <w:bottom w:w="0" w:type="dxa"/>
            <w:right w:w="108" w:type="dxa"/>
          </w:tblCellMar>
        </w:tblPrEx>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山东</w:t>
            </w:r>
            <w:r>
              <w:rPr>
                <w:rFonts w:hint="eastAsia" w:ascii="宋体" w:hAnsi="宋体" w:eastAsia="宋体" w:cs="宋体"/>
                <w:kern w:val="0"/>
                <w:sz w:val="20"/>
                <w:szCs w:val="20"/>
                <w:lang w:bidi="ar"/>
              </w:rPr>
              <w:t>省</w:t>
            </w:r>
          </w:p>
        </w:tc>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220</w:t>
            </w:r>
          </w:p>
        </w:tc>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7.45%</w:t>
            </w:r>
          </w:p>
        </w:tc>
        <w:tc>
          <w:tcPr>
            <w:tcW w:w="1705"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26</w:t>
            </w:r>
          </w:p>
        </w:tc>
        <w:tc>
          <w:tcPr>
            <w:tcW w:w="1705"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4.36%</w:t>
            </w:r>
          </w:p>
        </w:tc>
      </w:tr>
      <w:tr>
        <w:tblPrEx>
          <w:tblLayout w:type="fixed"/>
          <w:tblCellMar>
            <w:top w:w="0" w:type="dxa"/>
            <w:left w:w="108" w:type="dxa"/>
            <w:bottom w:w="0" w:type="dxa"/>
            <w:right w:w="108" w:type="dxa"/>
          </w:tblCellMar>
        </w:tblPrEx>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山西</w:t>
            </w:r>
            <w:r>
              <w:rPr>
                <w:rFonts w:hint="eastAsia" w:ascii="宋体" w:hAnsi="宋体" w:eastAsia="宋体" w:cs="宋体"/>
                <w:kern w:val="0"/>
                <w:sz w:val="20"/>
                <w:szCs w:val="20"/>
                <w:lang w:bidi="ar"/>
              </w:rPr>
              <w:t>省</w:t>
            </w:r>
          </w:p>
        </w:tc>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245</w:t>
            </w:r>
          </w:p>
        </w:tc>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8.30%</w:t>
            </w:r>
          </w:p>
        </w:tc>
        <w:tc>
          <w:tcPr>
            <w:tcW w:w="1705"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54</w:t>
            </w:r>
          </w:p>
        </w:tc>
        <w:tc>
          <w:tcPr>
            <w:tcW w:w="1705"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9.05%</w:t>
            </w:r>
          </w:p>
        </w:tc>
      </w:tr>
      <w:tr>
        <w:tblPrEx>
          <w:tblLayout w:type="fixed"/>
          <w:tblCellMar>
            <w:top w:w="0" w:type="dxa"/>
            <w:left w:w="108" w:type="dxa"/>
            <w:bottom w:w="0" w:type="dxa"/>
            <w:right w:w="108" w:type="dxa"/>
          </w:tblCellMar>
        </w:tblPrEx>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陕西</w:t>
            </w:r>
            <w:r>
              <w:rPr>
                <w:rFonts w:hint="eastAsia" w:ascii="宋体" w:hAnsi="宋体" w:eastAsia="宋体" w:cs="宋体"/>
                <w:kern w:val="0"/>
                <w:sz w:val="20"/>
                <w:szCs w:val="20"/>
                <w:lang w:bidi="ar"/>
              </w:rPr>
              <w:t>省</w:t>
            </w:r>
          </w:p>
        </w:tc>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30</w:t>
            </w:r>
          </w:p>
        </w:tc>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1.02%</w:t>
            </w:r>
          </w:p>
        </w:tc>
        <w:tc>
          <w:tcPr>
            <w:tcW w:w="1705"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4</w:t>
            </w:r>
          </w:p>
        </w:tc>
        <w:tc>
          <w:tcPr>
            <w:tcW w:w="1705"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0.67%</w:t>
            </w:r>
          </w:p>
        </w:tc>
      </w:tr>
      <w:tr>
        <w:tblPrEx>
          <w:tblLayout w:type="fixed"/>
          <w:tblCellMar>
            <w:top w:w="0" w:type="dxa"/>
            <w:left w:w="108" w:type="dxa"/>
            <w:bottom w:w="0" w:type="dxa"/>
            <w:right w:w="108" w:type="dxa"/>
          </w:tblCellMar>
        </w:tblPrEx>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四川</w:t>
            </w:r>
            <w:r>
              <w:rPr>
                <w:rFonts w:hint="eastAsia" w:ascii="宋体" w:hAnsi="宋体" w:eastAsia="宋体" w:cs="宋体"/>
                <w:kern w:val="0"/>
                <w:sz w:val="20"/>
                <w:szCs w:val="20"/>
                <w:lang w:bidi="ar"/>
              </w:rPr>
              <w:t>省</w:t>
            </w:r>
          </w:p>
        </w:tc>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w:t>
            </w:r>
          </w:p>
        </w:tc>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0.03%</w:t>
            </w:r>
          </w:p>
        </w:tc>
        <w:tc>
          <w:tcPr>
            <w:tcW w:w="1705" w:type="dxa"/>
            <w:tcBorders>
              <w:top w:val="single" w:color="4BACC6" w:sz="8" w:space="0"/>
              <w:left w:val="single" w:color="4BACC6" w:sz="8" w:space="0"/>
              <w:bottom w:val="single" w:color="4BACC6" w:sz="8" w:space="0"/>
              <w:right w:val="single" w:color="4BACC6" w:sz="8" w:space="0"/>
            </w:tcBorders>
            <w:shd w:val="clear" w:color="auto" w:fill="FFFFFF"/>
            <w:vAlign w:val="bottom"/>
          </w:tcPr>
          <w:p>
            <w:pPr>
              <w:jc w:val="center"/>
              <w:rPr>
                <w:rFonts w:ascii="Arial" w:hAnsi="Arial" w:eastAsia="宋体" w:cs="Arial"/>
                <w:sz w:val="20"/>
                <w:szCs w:val="20"/>
              </w:rPr>
            </w:pPr>
          </w:p>
        </w:tc>
        <w:tc>
          <w:tcPr>
            <w:tcW w:w="1705" w:type="dxa"/>
            <w:tcBorders>
              <w:top w:val="single" w:color="4BACC6" w:sz="8" w:space="0"/>
              <w:left w:val="single" w:color="4BACC6" w:sz="8" w:space="0"/>
              <w:bottom w:val="single" w:color="4BACC6" w:sz="8" w:space="0"/>
              <w:right w:val="single" w:color="4BACC6" w:sz="8" w:space="0"/>
            </w:tcBorders>
            <w:shd w:val="clear" w:color="auto" w:fill="FFFFFF"/>
            <w:vAlign w:val="bottom"/>
          </w:tcPr>
          <w:p>
            <w:pPr>
              <w:jc w:val="center"/>
              <w:rPr>
                <w:rFonts w:ascii="Arial" w:hAnsi="Arial" w:eastAsia="宋体" w:cs="Arial"/>
                <w:sz w:val="20"/>
                <w:szCs w:val="20"/>
              </w:rPr>
            </w:pPr>
          </w:p>
        </w:tc>
      </w:tr>
      <w:tr>
        <w:tblPrEx>
          <w:tblLayout w:type="fixed"/>
          <w:tblCellMar>
            <w:top w:w="0" w:type="dxa"/>
            <w:left w:w="108" w:type="dxa"/>
            <w:bottom w:w="0" w:type="dxa"/>
            <w:right w:w="108" w:type="dxa"/>
          </w:tblCellMar>
        </w:tblPrEx>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天津</w:t>
            </w:r>
            <w:r>
              <w:rPr>
                <w:rFonts w:hint="eastAsia" w:ascii="宋体" w:hAnsi="宋体" w:eastAsia="宋体" w:cs="宋体"/>
                <w:kern w:val="0"/>
                <w:sz w:val="20"/>
                <w:szCs w:val="20"/>
                <w:lang w:bidi="ar"/>
              </w:rPr>
              <w:t>市</w:t>
            </w:r>
          </w:p>
        </w:tc>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14</w:t>
            </w:r>
          </w:p>
        </w:tc>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0.47%</w:t>
            </w:r>
          </w:p>
        </w:tc>
        <w:tc>
          <w:tcPr>
            <w:tcW w:w="1705"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11</w:t>
            </w:r>
          </w:p>
        </w:tc>
        <w:tc>
          <w:tcPr>
            <w:tcW w:w="1705"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1.84%</w:t>
            </w:r>
          </w:p>
        </w:tc>
      </w:tr>
      <w:tr>
        <w:tblPrEx>
          <w:tblLayout w:type="fixed"/>
          <w:tblCellMar>
            <w:top w:w="0" w:type="dxa"/>
            <w:left w:w="108" w:type="dxa"/>
            <w:bottom w:w="0" w:type="dxa"/>
            <w:right w:w="108" w:type="dxa"/>
          </w:tblCellMar>
        </w:tblPrEx>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武汉</w:t>
            </w:r>
          </w:p>
        </w:tc>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w:t>
            </w:r>
          </w:p>
        </w:tc>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0.03%</w:t>
            </w:r>
          </w:p>
        </w:tc>
        <w:tc>
          <w:tcPr>
            <w:tcW w:w="1705" w:type="dxa"/>
            <w:tcBorders>
              <w:top w:val="single" w:color="4BACC6" w:sz="8" w:space="0"/>
              <w:left w:val="single" w:color="4BACC6" w:sz="8" w:space="0"/>
              <w:bottom w:val="single" w:color="4BACC6" w:sz="8" w:space="0"/>
              <w:right w:val="single" w:color="4BACC6" w:sz="8" w:space="0"/>
            </w:tcBorders>
            <w:shd w:val="clear" w:color="auto" w:fill="FFFFFF"/>
            <w:vAlign w:val="bottom"/>
          </w:tcPr>
          <w:p>
            <w:pPr>
              <w:jc w:val="center"/>
              <w:rPr>
                <w:rFonts w:ascii="Arial" w:hAnsi="Arial" w:eastAsia="宋体" w:cs="Arial"/>
                <w:sz w:val="20"/>
                <w:szCs w:val="20"/>
              </w:rPr>
            </w:pPr>
          </w:p>
        </w:tc>
        <w:tc>
          <w:tcPr>
            <w:tcW w:w="1705" w:type="dxa"/>
            <w:tcBorders>
              <w:top w:val="single" w:color="4BACC6" w:sz="8" w:space="0"/>
              <w:left w:val="single" w:color="4BACC6" w:sz="8" w:space="0"/>
              <w:bottom w:val="single" w:color="4BACC6" w:sz="8" w:space="0"/>
              <w:right w:val="single" w:color="4BACC6" w:sz="8" w:space="0"/>
            </w:tcBorders>
            <w:shd w:val="clear" w:color="auto" w:fill="FFFFFF"/>
            <w:vAlign w:val="bottom"/>
          </w:tcPr>
          <w:p>
            <w:pPr>
              <w:jc w:val="center"/>
              <w:rPr>
                <w:rFonts w:ascii="Arial" w:hAnsi="Arial" w:eastAsia="宋体" w:cs="Arial"/>
                <w:sz w:val="20"/>
                <w:szCs w:val="20"/>
              </w:rPr>
            </w:pPr>
          </w:p>
        </w:tc>
      </w:tr>
      <w:tr>
        <w:tblPrEx>
          <w:tblLayout w:type="fixed"/>
          <w:tblCellMar>
            <w:top w:w="0" w:type="dxa"/>
            <w:left w:w="108" w:type="dxa"/>
            <w:bottom w:w="0" w:type="dxa"/>
            <w:right w:w="108" w:type="dxa"/>
          </w:tblCellMar>
        </w:tblPrEx>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新疆</w:t>
            </w:r>
            <w:r>
              <w:rPr>
                <w:rFonts w:hint="eastAsia" w:ascii="宋体" w:hAnsi="宋体" w:eastAsia="宋体" w:cs="宋体"/>
                <w:kern w:val="0"/>
                <w:sz w:val="20"/>
                <w:szCs w:val="20"/>
                <w:lang w:bidi="ar"/>
              </w:rPr>
              <w:t>自治区</w:t>
            </w:r>
          </w:p>
        </w:tc>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15</w:t>
            </w:r>
          </w:p>
        </w:tc>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0.51%</w:t>
            </w:r>
          </w:p>
        </w:tc>
        <w:tc>
          <w:tcPr>
            <w:tcW w:w="1705" w:type="dxa"/>
            <w:tcBorders>
              <w:top w:val="single" w:color="4BACC6" w:sz="8" w:space="0"/>
              <w:left w:val="single" w:color="4BACC6" w:sz="8" w:space="0"/>
              <w:bottom w:val="single" w:color="4BACC6" w:sz="8" w:space="0"/>
              <w:right w:val="single" w:color="4BACC6" w:sz="8" w:space="0"/>
            </w:tcBorders>
            <w:shd w:val="clear" w:color="auto" w:fill="B7DDE8"/>
            <w:vAlign w:val="bottom"/>
          </w:tcPr>
          <w:p>
            <w:pPr>
              <w:jc w:val="center"/>
              <w:rPr>
                <w:rFonts w:ascii="Arial" w:hAnsi="Arial" w:eastAsia="宋体" w:cs="Arial"/>
                <w:sz w:val="20"/>
                <w:szCs w:val="20"/>
              </w:rPr>
            </w:pPr>
          </w:p>
        </w:tc>
        <w:tc>
          <w:tcPr>
            <w:tcW w:w="1705" w:type="dxa"/>
            <w:tcBorders>
              <w:top w:val="single" w:color="4BACC6" w:sz="8" w:space="0"/>
              <w:left w:val="single" w:color="4BACC6" w:sz="8" w:space="0"/>
              <w:bottom w:val="single" w:color="4BACC6" w:sz="8" w:space="0"/>
              <w:right w:val="single" w:color="4BACC6" w:sz="8" w:space="0"/>
            </w:tcBorders>
            <w:shd w:val="clear" w:color="auto" w:fill="B7DDE8"/>
            <w:vAlign w:val="bottom"/>
          </w:tcPr>
          <w:p>
            <w:pPr>
              <w:jc w:val="center"/>
              <w:rPr>
                <w:rFonts w:ascii="Arial" w:hAnsi="Arial" w:eastAsia="宋体" w:cs="Arial"/>
                <w:sz w:val="20"/>
                <w:szCs w:val="20"/>
              </w:rPr>
            </w:pPr>
          </w:p>
        </w:tc>
      </w:tr>
      <w:tr>
        <w:tblPrEx>
          <w:tblLayout w:type="fixed"/>
          <w:tblCellMar>
            <w:top w:w="0" w:type="dxa"/>
            <w:left w:w="108" w:type="dxa"/>
            <w:bottom w:w="0" w:type="dxa"/>
            <w:right w:w="108" w:type="dxa"/>
          </w:tblCellMar>
        </w:tblPrEx>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浙江</w:t>
            </w:r>
          </w:p>
        </w:tc>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17</w:t>
            </w:r>
          </w:p>
        </w:tc>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0.58%</w:t>
            </w:r>
          </w:p>
        </w:tc>
        <w:tc>
          <w:tcPr>
            <w:tcW w:w="1705" w:type="dxa"/>
            <w:tcBorders>
              <w:top w:val="single" w:color="4BACC6" w:sz="8" w:space="0"/>
              <w:left w:val="single" w:color="4BACC6" w:sz="8" w:space="0"/>
              <w:bottom w:val="single" w:color="4BACC6" w:sz="8" w:space="0"/>
              <w:right w:val="single" w:color="4BACC6" w:sz="8" w:space="0"/>
            </w:tcBorders>
            <w:shd w:val="clear" w:color="auto" w:fill="FFFFFF"/>
            <w:vAlign w:val="bottom"/>
          </w:tcPr>
          <w:p>
            <w:pPr>
              <w:jc w:val="center"/>
              <w:rPr>
                <w:rFonts w:ascii="Arial" w:hAnsi="Arial" w:eastAsia="宋体" w:cs="Arial"/>
                <w:sz w:val="20"/>
                <w:szCs w:val="20"/>
              </w:rPr>
            </w:pPr>
          </w:p>
        </w:tc>
        <w:tc>
          <w:tcPr>
            <w:tcW w:w="1705" w:type="dxa"/>
            <w:tcBorders>
              <w:top w:val="single" w:color="4BACC6" w:sz="8" w:space="0"/>
              <w:left w:val="single" w:color="4BACC6" w:sz="8" w:space="0"/>
              <w:bottom w:val="single" w:color="4BACC6" w:sz="8" w:space="0"/>
              <w:right w:val="single" w:color="4BACC6" w:sz="8" w:space="0"/>
            </w:tcBorders>
            <w:shd w:val="clear" w:color="auto" w:fill="FFFFFF"/>
            <w:vAlign w:val="bottom"/>
          </w:tcPr>
          <w:p>
            <w:pPr>
              <w:jc w:val="center"/>
              <w:rPr>
                <w:rFonts w:ascii="Arial" w:hAnsi="Arial" w:eastAsia="宋体" w:cs="Arial"/>
                <w:sz w:val="20"/>
                <w:szCs w:val="20"/>
              </w:rPr>
            </w:pPr>
          </w:p>
        </w:tc>
      </w:tr>
      <w:tr>
        <w:tblPrEx>
          <w:tblLayout w:type="fixed"/>
          <w:tblCellMar>
            <w:top w:w="0" w:type="dxa"/>
            <w:left w:w="108" w:type="dxa"/>
            <w:bottom w:w="0" w:type="dxa"/>
            <w:right w:w="108" w:type="dxa"/>
          </w:tblCellMar>
        </w:tblPrEx>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重庆</w:t>
            </w:r>
            <w:r>
              <w:rPr>
                <w:rFonts w:hint="eastAsia" w:ascii="宋体" w:hAnsi="宋体" w:eastAsia="宋体" w:cs="宋体"/>
                <w:kern w:val="0"/>
                <w:sz w:val="20"/>
                <w:szCs w:val="20"/>
                <w:lang w:bidi="ar"/>
              </w:rPr>
              <w:t>市</w:t>
            </w:r>
          </w:p>
        </w:tc>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20</w:t>
            </w:r>
          </w:p>
        </w:tc>
        <w:tc>
          <w:tcPr>
            <w:tcW w:w="1704"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0.68%</w:t>
            </w:r>
          </w:p>
        </w:tc>
        <w:tc>
          <w:tcPr>
            <w:tcW w:w="1705"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1</w:t>
            </w:r>
          </w:p>
        </w:tc>
        <w:tc>
          <w:tcPr>
            <w:tcW w:w="1705"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0.17%</w:t>
            </w:r>
          </w:p>
        </w:tc>
      </w:tr>
      <w:tr>
        <w:tblPrEx>
          <w:tblLayout w:type="fixed"/>
          <w:tblCellMar>
            <w:top w:w="0" w:type="dxa"/>
            <w:left w:w="108" w:type="dxa"/>
            <w:bottom w:w="0" w:type="dxa"/>
            <w:right w:w="108" w:type="dxa"/>
          </w:tblCellMar>
        </w:tblPrEx>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总计</w:t>
            </w:r>
          </w:p>
        </w:tc>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2952</w:t>
            </w:r>
          </w:p>
        </w:tc>
        <w:tc>
          <w:tcPr>
            <w:tcW w:w="1704" w:type="dxa"/>
            <w:tcBorders>
              <w:top w:val="single" w:color="4BACC6" w:sz="8" w:space="0"/>
              <w:left w:val="single" w:color="4BACC6" w:sz="8" w:space="0"/>
              <w:bottom w:val="single" w:color="4BACC6" w:sz="8" w:space="0"/>
              <w:right w:val="single" w:color="4BACC6" w:sz="8" w:space="0"/>
            </w:tcBorders>
            <w:shd w:val="clear" w:color="auto" w:fill="FFFFFF"/>
            <w:vAlign w:val="bottom"/>
          </w:tcPr>
          <w:p>
            <w:pPr>
              <w:jc w:val="center"/>
              <w:rPr>
                <w:rFonts w:ascii="Arial" w:hAnsi="Arial" w:eastAsia="宋体" w:cs="Arial"/>
                <w:sz w:val="20"/>
                <w:szCs w:val="20"/>
              </w:rPr>
            </w:pPr>
          </w:p>
        </w:tc>
        <w:tc>
          <w:tcPr>
            <w:tcW w:w="1705"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Arial"/>
                <w:sz w:val="20"/>
                <w:szCs w:val="20"/>
              </w:rPr>
            </w:pPr>
            <w:r>
              <w:rPr>
                <w:rFonts w:ascii="Arial" w:hAnsi="Arial" w:eastAsia="宋体" w:cs="Arial"/>
                <w:kern w:val="0"/>
                <w:sz w:val="20"/>
                <w:szCs w:val="20"/>
                <w:lang w:bidi="ar"/>
              </w:rPr>
              <w:t>597</w:t>
            </w:r>
          </w:p>
        </w:tc>
        <w:tc>
          <w:tcPr>
            <w:tcW w:w="1705" w:type="dxa"/>
            <w:tcBorders>
              <w:top w:val="single" w:color="4BACC6" w:sz="8" w:space="0"/>
              <w:left w:val="single" w:color="4BACC6" w:sz="8" w:space="0"/>
              <w:bottom w:val="single" w:color="4BACC6" w:sz="8" w:space="0"/>
              <w:right w:val="single" w:color="4BACC6" w:sz="8" w:space="0"/>
            </w:tcBorders>
            <w:shd w:val="clear" w:color="auto" w:fill="FFFFFF"/>
            <w:vAlign w:val="center"/>
          </w:tcPr>
          <w:p>
            <w:pPr>
              <w:rPr>
                <w:rFonts w:ascii="Arial" w:hAnsi="Arial" w:eastAsia="宋体" w:cs="Arial"/>
                <w:sz w:val="20"/>
                <w:szCs w:val="20"/>
              </w:rPr>
            </w:pPr>
          </w:p>
        </w:tc>
      </w:tr>
    </w:tbl>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2017届本科毕业生主要在河北省石家庄市就业，占省内就业总人数的46.84%，专科毕业生主要在石家庄市就业，占省内就业总人数的73.27%。</w:t>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表1-13 2017届不同学历毕业生省内就业城市分布</w:t>
      </w:r>
    </w:p>
    <w:tbl>
      <w:tblPr>
        <w:tblStyle w:val="26"/>
        <w:tblW w:w="7376" w:type="dxa"/>
        <w:jc w:val="center"/>
        <w:tblInd w:w="0" w:type="dxa"/>
        <w:tblLayout w:type="fixed"/>
        <w:tblCellMar>
          <w:top w:w="0" w:type="dxa"/>
          <w:left w:w="108" w:type="dxa"/>
          <w:bottom w:w="0" w:type="dxa"/>
          <w:right w:w="108" w:type="dxa"/>
        </w:tblCellMar>
      </w:tblPr>
      <w:tblGrid>
        <w:gridCol w:w="1704"/>
        <w:gridCol w:w="1418"/>
        <w:gridCol w:w="1418"/>
        <w:gridCol w:w="1418"/>
        <w:gridCol w:w="1418"/>
      </w:tblGrid>
      <w:tr>
        <w:tblPrEx>
          <w:tblLayout w:type="fixed"/>
          <w:tblCellMar>
            <w:top w:w="0" w:type="dxa"/>
            <w:left w:w="108" w:type="dxa"/>
            <w:bottom w:w="0" w:type="dxa"/>
            <w:right w:w="108" w:type="dxa"/>
          </w:tblCellMar>
        </w:tblPrEx>
        <w:trPr>
          <w:jc w:val="center"/>
        </w:trPr>
        <w:tc>
          <w:tcPr>
            <w:tcW w:w="1704" w:type="dxa"/>
            <w:vMerge w:val="restart"/>
            <w:tcBorders>
              <w:top w:val="single" w:color="4BACC6" w:sz="8" w:space="0"/>
              <w:left w:val="single" w:color="4BACC6" w:sz="8" w:space="0"/>
              <w:bottom w:val="single" w:color="FFFFFF" w:sz="4" w:space="0"/>
              <w:right w:val="single" w:color="4BACC6" w:sz="8" w:space="0"/>
            </w:tcBorders>
            <w:shd w:val="clear" w:color="auto" w:fill="4BACC6"/>
            <w:vAlign w:val="center"/>
          </w:tcPr>
          <w:p>
            <w:pPr>
              <w:widowControl/>
              <w:jc w:val="center"/>
              <w:textAlignment w:val="center"/>
              <w:rPr>
                <w:rFonts w:ascii="Arial" w:hAnsi="Arial" w:eastAsia="宋体" w:cs="宋体"/>
                <w:b/>
                <w:sz w:val="20"/>
              </w:rPr>
            </w:pPr>
            <w:r>
              <w:rPr>
                <w:rFonts w:hint="eastAsia" w:ascii="Arial" w:hAnsi="Arial" w:eastAsia="宋体" w:cs="宋体"/>
                <w:b/>
                <w:sz w:val="20"/>
              </w:rPr>
              <w:t>就业城市</w:t>
            </w:r>
          </w:p>
        </w:tc>
        <w:tc>
          <w:tcPr>
            <w:tcW w:w="2836" w:type="dxa"/>
            <w:gridSpan w:val="2"/>
            <w:tcBorders>
              <w:top w:val="single" w:color="4BACC6" w:sz="8" w:space="0"/>
              <w:left w:val="single" w:color="4BACC6" w:sz="8" w:space="0"/>
              <w:bottom w:val="single" w:color="FFFFFF" w:sz="4" w:space="0"/>
              <w:right w:val="single" w:color="4BACC6" w:sz="8" w:space="0"/>
            </w:tcBorders>
            <w:shd w:val="clear" w:color="auto" w:fill="4BACC6"/>
            <w:vAlign w:val="center"/>
          </w:tcPr>
          <w:p>
            <w:pPr>
              <w:jc w:val="center"/>
              <w:rPr>
                <w:rFonts w:ascii="Arial" w:hAnsi="Arial" w:eastAsia="宋体" w:cs="宋体"/>
                <w:b/>
                <w:sz w:val="20"/>
                <w:szCs w:val="24"/>
              </w:rPr>
            </w:pPr>
            <w:r>
              <w:rPr>
                <w:rFonts w:hint="eastAsia" w:ascii="Arial" w:hAnsi="Arial" w:eastAsia="宋体" w:cs="宋体"/>
                <w:b/>
                <w:sz w:val="20"/>
                <w:szCs w:val="24"/>
              </w:rPr>
              <w:t>本科</w:t>
            </w:r>
          </w:p>
        </w:tc>
        <w:tc>
          <w:tcPr>
            <w:tcW w:w="2836" w:type="dxa"/>
            <w:gridSpan w:val="2"/>
            <w:tcBorders>
              <w:top w:val="single" w:color="4BACC6" w:sz="8" w:space="0"/>
              <w:left w:val="single" w:color="4BACC6" w:sz="8" w:space="0"/>
              <w:bottom w:val="single" w:color="FFFFFF" w:sz="4" w:space="0"/>
              <w:right w:val="single" w:color="4BACC6" w:sz="8" w:space="0"/>
            </w:tcBorders>
            <w:shd w:val="clear" w:color="auto" w:fill="4BACC6"/>
            <w:vAlign w:val="center"/>
          </w:tcPr>
          <w:p>
            <w:pPr>
              <w:widowControl/>
              <w:jc w:val="center"/>
              <w:textAlignment w:val="center"/>
              <w:rPr>
                <w:rFonts w:ascii="Arial" w:hAnsi="Arial" w:eastAsia="宋体" w:cs="宋体"/>
                <w:b/>
                <w:sz w:val="20"/>
              </w:rPr>
            </w:pPr>
            <w:r>
              <w:rPr>
                <w:rFonts w:hint="eastAsia" w:ascii="Arial" w:hAnsi="Arial" w:eastAsia="宋体" w:cs="宋体"/>
                <w:b/>
                <w:sz w:val="20"/>
              </w:rPr>
              <w:t>专科</w:t>
            </w:r>
          </w:p>
        </w:tc>
      </w:tr>
      <w:tr>
        <w:tblPrEx>
          <w:tblLayout w:type="fixed"/>
          <w:tblCellMar>
            <w:top w:w="0" w:type="dxa"/>
            <w:left w:w="108" w:type="dxa"/>
            <w:bottom w:w="0" w:type="dxa"/>
            <w:right w:w="108" w:type="dxa"/>
          </w:tblCellMar>
        </w:tblPrEx>
        <w:trPr>
          <w:jc w:val="center"/>
        </w:trPr>
        <w:tc>
          <w:tcPr>
            <w:tcW w:w="1704" w:type="dxa"/>
            <w:vMerge w:val="continue"/>
            <w:tcBorders>
              <w:top w:val="single" w:color="FFFFFF" w:sz="4" w:space="0"/>
              <w:left w:val="single" w:color="4BACC6" w:sz="8" w:space="0"/>
              <w:bottom w:val="single" w:color="4BACC6" w:sz="8" w:space="0"/>
              <w:right w:val="single" w:color="4BACC6" w:sz="8" w:space="0"/>
            </w:tcBorders>
            <w:shd w:val="clear" w:color="auto" w:fill="B7DDE8"/>
            <w:vAlign w:val="center"/>
          </w:tcPr>
          <w:p>
            <w:pPr>
              <w:widowControl/>
              <w:jc w:val="center"/>
              <w:textAlignment w:val="center"/>
              <w:rPr>
                <w:rFonts w:ascii="Arial" w:hAnsi="Arial" w:eastAsia="宋体" w:cs="宋体"/>
                <w:b/>
                <w:kern w:val="0"/>
                <w:sz w:val="20"/>
                <w:lang w:bidi="ar"/>
              </w:rPr>
            </w:pPr>
          </w:p>
        </w:tc>
        <w:tc>
          <w:tcPr>
            <w:tcW w:w="1418" w:type="dxa"/>
            <w:tcBorders>
              <w:top w:val="single" w:color="FFFFFF" w:sz="4" w:space="0"/>
              <w:left w:val="single" w:color="4BACC6" w:sz="8" w:space="0"/>
              <w:bottom w:val="single" w:color="4BACC6" w:sz="8" w:space="0"/>
              <w:right w:val="single" w:color="4BACC6" w:sz="8" w:space="0"/>
            </w:tcBorders>
            <w:shd w:val="clear" w:color="auto" w:fill="B7DDE8"/>
            <w:vAlign w:val="center"/>
          </w:tcPr>
          <w:p>
            <w:pPr>
              <w:jc w:val="center"/>
              <w:rPr>
                <w:rFonts w:ascii="Arial" w:hAnsi="Arial" w:eastAsia="宋体"/>
                <w:b/>
                <w:sz w:val="20"/>
              </w:rPr>
            </w:pPr>
            <w:r>
              <w:rPr>
                <w:rFonts w:hint="eastAsia" w:ascii="Arial" w:hAnsi="Arial" w:eastAsia="宋体"/>
                <w:b/>
                <w:sz w:val="20"/>
              </w:rPr>
              <w:t>人数</w:t>
            </w:r>
          </w:p>
        </w:tc>
        <w:tc>
          <w:tcPr>
            <w:tcW w:w="1418" w:type="dxa"/>
            <w:tcBorders>
              <w:top w:val="single" w:color="FFFFFF" w:sz="4" w:space="0"/>
              <w:left w:val="single" w:color="4BACC6" w:sz="8" w:space="0"/>
              <w:bottom w:val="single" w:color="4BACC6" w:sz="8" w:space="0"/>
              <w:right w:val="single" w:color="4BACC6" w:sz="8" w:space="0"/>
            </w:tcBorders>
            <w:shd w:val="clear" w:color="auto" w:fill="B7DDE8"/>
            <w:vAlign w:val="center"/>
          </w:tcPr>
          <w:p>
            <w:pPr>
              <w:jc w:val="center"/>
              <w:rPr>
                <w:rFonts w:ascii="Arial" w:hAnsi="Arial" w:eastAsia="宋体"/>
                <w:b/>
                <w:sz w:val="20"/>
              </w:rPr>
            </w:pPr>
            <w:r>
              <w:rPr>
                <w:rFonts w:hint="eastAsia" w:ascii="Arial" w:hAnsi="Arial" w:eastAsia="宋体"/>
                <w:b/>
                <w:sz w:val="20"/>
              </w:rPr>
              <w:t>比例</w:t>
            </w:r>
          </w:p>
        </w:tc>
        <w:tc>
          <w:tcPr>
            <w:tcW w:w="1418" w:type="dxa"/>
            <w:tcBorders>
              <w:top w:val="single" w:color="FFFFFF" w:sz="4" w:space="0"/>
              <w:left w:val="single" w:color="4BACC6" w:sz="8" w:space="0"/>
              <w:bottom w:val="single" w:color="4BACC6" w:sz="8" w:space="0"/>
              <w:right w:val="single" w:color="4BACC6" w:sz="8" w:space="0"/>
            </w:tcBorders>
            <w:shd w:val="clear" w:color="auto" w:fill="B7DDE8"/>
            <w:vAlign w:val="center"/>
          </w:tcPr>
          <w:p>
            <w:pPr>
              <w:widowControl/>
              <w:jc w:val="center"/>
              <w:textAlignment w:val="center"/>
              <w:rPr>
                <w:rFonts w:ascii="Arial" w:hAnsi="Arial" w:eastAsia="宋体" w:cs="宋体"/>
                <w:b/>
                <w:kern w:val="0"/>
                <w:sz w:val="20"/>
                <w:lang w:bidi="ar"/>
              </w:rPr>
            </w:pPr>
            <w:r>
              <w:rPr>
                <w:rFonts w:hint="eastAsia" w:ascii="Arial" w:hAnsi="Arial" w:eastAsia="宋体" w:cs="宋体"/>
                <w:b/>
                <w:kern w:val="0"/>
                <w:sz w:val="20"/>
                <w:lang w:bidi="ar"/>
              </w:rPr>
              <w:t>人数</w:t>
            </w:r>
          </w:p>
        </w:tc>
        <w:tc>
          <w:tcPr>
            <w:tcW w:w="1418" w:type="dxa"/>
            <w:tcBorders>
              <w:top w:val="single" w:color="FFFFFF" w:sz="4" w:space="0"/>
              <w:left w:val="single" w:color="4BACC6" w:sz="8" w:space="0"/>
              <w:bottom w:val="single" w:color="4BACC6" w:sz="8" w:space="0"/>
              <w:right w:val="single" w:color="4BACC6" w:sz="8" w:space="0"/>
            </w:tcBorders>
            <w:shd w:val="clear" w:color="auto" w:fill="B7DDE8"/>
            <w:vAlign w:val="center"/>
          </w:tcPr>
          <w:p>
            <w:pPr>
              <w:widowControl/>
              <w:jc w:val="center"/>
              <w:textAlignment w:val="center"/>
              <w:rPr>
                <w:rFonts w:ascii="Arial" w:hAnsi="Arial" w:eastAsia="宋体" w:cs="宋体"/>
                <w:b/>
                <w:kern w:val="0"/>
                <w:sz w:val="20"/>
                <w:lang w:bidi="ar"/>
              </w:rPr>
            </w:pPr>
            <w:r>
              <w:rPr>
                <w:rFonts w:hint="eastAsia" w:ascii="Arial" w:hAnsi="Arial" w:eastAsia="宋体" w:cs="宋体"/>
                <w:b/>
                <w:kern w:val="0"/>
                <w:sz w:val="20"/>
                <w:lang w:bidi="ar"/>
              </w:rPr>
              <w:t>比例</w:t>
            </w:r>
          </w:p>
        </w:tc>
      </w:tr>
      <w:tr>
        <w:tblPrEx>
          <w:tblLayout w:type="fixed"/>
          <w:tblCellMar>
            <w:top w:w="0" w:type="dxa"/>
            <w:left w:w="108" w:type="dxa"/>
            <w:bottom w:w="0" w:type="dxa"/>
            <w:right w:w="108" w:type="dxa"/>
          </w:tblCellMar>
        </w:tblPrEx>
        <w:trPr>
          <w:jc w:val="center"/>
        </w:trPr>
        <w:tc>
          <w:tcPr>
            <w:tcW w:w="1704"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center"/>
              <w:rPr>
                <w:rFonts w:ascii="Arial" w:hAnsi="Arial" w:eastAsia="宋体" w:cs="宋体"/>
                <w:sz w:val="20"/>
              </w:rPr>
            </w:pPr>
            <w:r>
              <w:rPr>
                <w:rFonts w:hint="eastAsia" w:ascii="宋体" w:hAnsi="宋体" w:eastAsia="宋体" w:cs="宋体"/>
                <w:kern w:val="0"/>
                <w:sz w:val="20"/>
                <w:szCs w:val="20"/>
                <w:lang w:bidi="ar"/>
              </w:rPr>
              <w:t>石家庄市</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801</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宋体"/>
                <w:sz w:val="20"/>
                <w:szCs w:val="24"/>
              </w:rPr>
            </w:pPr>
            <w:r>
              <w:rPr>
                <w:rFonts w:ascii="Arial" w:hAnsi="Arial" w:eastAsia="宋体" w:cs="Arial"/>
                <w:kern w:val="0"/>
                <w:sz w:val="20"/>
                <w:szCs w:val="20"/>
                <w:lang w:bidi="ar"/>
              </w:rPr>
              <w:t>46.84%</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307</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73.27%</w:t>
            </w:r>
          </w:p>
        </w:tc>
      </w:tr>
      <w:tr>
        <w:tblPrEx>
          <w:tblLayout w:type="fixed"/>
          <w:tblCellMar>
            <w:top w:w="0" w:type="dxa"/>
            <w:left w:w="108" w:type="dxa"/>
            <w:bottom w:w="0" w:type="dxa"/>
            <w:right w:w="108" w:type="dxa"/>
          </w:tblCellMar>
        </w:tblPrEx>
        <w:trPr>
          <w:jc w:val="center"/>
        </w:trPr>
        <w:tc>
          <w:tcPr>
            <w:tcW w:w="1704"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center"/>
              <w:rPr>
                <w:rFonts w:ascii="Arial" w:hAnsi="Arial" w:eastAsia="宋体" w:cs="宋体"/>
                <w:sz w:val="20"/>
              </w:rPr>
            </w:pPr>
            <w:r>
              <w:rPr>
                <w:rFonts w:hint="eastAsia" w:ascii="宋体" w:hAnsi="宋体" w:eastAsia="宋体" w:cs="宋体"/>
                <w:kern w:val="0"/>
                <w:sz w:val="20"/>
                <w:szCs w:val="20"/>
                <w:lang w:bidi="ar"/>
              </w:rPr>
              <w:t>唐山市</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168</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宋体"/>
                <w:sz w:val="20"/>
                <w:szCs w:val="24"/>
              </w:rPr>
            </w:pPr>
            <w:r>
              <w:rPr>
                <w:rFonts w:ascii="Arial" w:hAnsi="Arial" w:eastAsia="宋体" w:cs="Arial"/>
                <w:kern w:val="0"/>
                <w:sz w:val="20"/>
                <w:szCs w:val="20"/>
                <w:lang w:bidi="ar"/>
              </w:rPr>
              <w:t>9.82%</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20</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4.77%</w:t>
            </w:r>
          </w:p>
        </w:tc>
      </w:tr>
      <w:tr>
        <w:tblPrEx>
          <w:tblLayout w:type="fixed"/>
          <w:tblCellMar>
            <w:top w:w="0" w:type="dxa"/>
            <w:left w:w="108" w:type="dxa"/>
            <w:bottom w:w="0" w:type="dxa"/>
            <w:right w:w="108" w:type="dxa"/>
          </w:tblCellMar>
        </w:tblPrEx>
        <w:trPr>
          <w:jc w:val="center"/>
        </w:trPr>
        <w:tc>
          <w:tcPr>
            <w:tcW w:w="1704"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center"/>
              <w:rPr>
                <w:rFonts w:ascii="Arial" w:hAnsi="Arial" w:eastAsia="宋体" w:cs="宋体"/>
                <w:sz w:val="20"/>
              </w:rPr>
            </w:pPr>
            <w:r>
              <w:rPr>
                <w:rFonts w:hint="eastAsia" w:ascii="宋体" w:hAnsi="宋体" w:eastAsia="宋体" w:cs="宋体"/>
                <w:kern w:val="0"/>
                <w:sz w:val="20"/>
                <w:szCs w:val="20"/>
                <w:lang w:bidi="ar"/>
              </w:rPr>
              <w:t>邯郸市</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157</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宋体"/>
                <w:sz w:val="20"/>
                <w:szCs w:val="24"/>
              </w:rPr>
            </w:pPr>
            <w:r>
              <w:rPr>
                <w:rFonts w:ascii="Arial" w:hAnsi="Arial" w:eastAsia="宋体" w:cs="Arial"/>
                <w:kern w:val="0"/>
                <w:sz w:val="20"/>
                <w:szCs w:val="20"/>
                <w:lang w:bidi="ar"/>
              </w:rPr>
              <w:t>9.18%</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18</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4.30%</w:t>
            </w:r>
          </w:p>
        </w:tc>
      </w:tr>
      <w:tr>
        <w:tblPrEx>
          <w:tblLayout w:type="fixed"/>
          <w:tblCellMar>
            <w:top w:w="0" w:type="dxa"/>
            <w:left w:w="108" w:type="dxa"/>
            <w:bottom w:w="0" w:type="dxa"/>
            <w:right w:w="108" w:type="dxa"/>
          </w:tblCellMar>
        </w:tblPrEx>
        <w:trPr>
          <w:jc w:val="center"/>
        </w:trPr>
        <w:tc>
          <w:tcPr>
            <w:tcW w:w="1704"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center"/>
              <w:rPr>
                <w:rFonts w:ascii="Arial" w:hAnsi="Arial" w:eastAsia="宋体" w:cs="宋体"/>
                <w:sz w:val="20"/>
              </w:rPr>
            </w:pPr>
            <w:r>
              <w:rPr>
                <w:rFonts w:hint="eastAsia" w:ascii="宋体" w:hAnsi="宋体" w:eastAsia="宋体" w:cs="宋体"/>
                <w:kern w:val="0"/>
                <w:sz w:val="20"/>
                <w:szCs w:val="20"/>
                <w:lang w:bidi="ar"/>
              </w:rPr>
              <w:t>保定市</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124</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宋体"/>
                <w:sz w:val="20"/>
                <w:szCs w:val="24"/>
              </w:rPr>
            </w:pPr>
            <w:r>
              <w:rPr>
                <w:rFonts w:ascii="Arial" w:hAnsi="Arial" w:eastAsia="宋体" w:cs="Arial"/>
                <w:kern w:val="0"/>
                <w:sz w:val="20"/>
                <w:szCs w:val="20"/>
                <w:lang w:bidi="ar"/>
              </w:rPr>
              <w:t>7.25%</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17</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4.06%</w:t>
            </w:r>
          </w:p>
        </w:tc>
      </w:tr>
      <w:tr>
        <w:tblPrEx>
          <w:tblLayout w:type="fixed"/>
          <w:tblCellMar>
            <w:top w:w="0" w:type="dxa"/>
            <w:left w:w="108" w:type="dxa"/>
            <w:bottom w:w="0" w:type="dxa"/>
            <w:right w:w="108" w:type="dxa"/>
          </w:tblCellMar>
        </w:tblPrEx>
        <w:trPr>
          <w:jc w:val="center"/>
        </w:trPr>
        <w:tc>
          <w:tcPr>
            <w:tcW w:w="1704"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center"/>
              <w:rPr>
                <w:rFonts w:ascii="Arial" w:hAnsi="Arial" w:eastAsia="宋体" w:cs="宋体"/>
                <w:sz w:val="20"/>
              </w:rPr>
            </w:pPr>
            <w:r>
              <w:rPr>
                <w:rFonts w:hint="eastAsia" w:ascii="宋体" w:hAnsi="宋体" w:eastAsia="宋体" w:cs="宋体"/>
                <w:kern w:val="0"/>
                <w:sz w:val="20"/>
                <w:szCs w:val="20"/>
                <w:lang w:bidi="ar"/>
              </w:rPr>
              <w:t>廊坊市</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87</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宋体"/>
                <w:sz w:val="20"/>
                <w:szCs w:val="24"/>
              </w:rPr>
            </w:pPr>
            <w:r>
              <w:rPr>
                <w:rFonts w:ascii="Arial" w:hAnsi="Arial" w:eastAsia="宋体" w:cs="Arial"/>
                <w:kern w:val="0"/>
                <w:sz w:val="20"/>
                <w:szCs w:val="20"/>
                <w:lang w:bidi="ar"/>
              </w:rPr>
              <w:t>5.09%</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8</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1.91%</w:t>
            </w:r>
          </w:p>
        </w:tc>
      </w:tr>
      <w:tr>
        <w:tblPrEx>
          <w:tblLayout w:type="fixed"/>
          <w:tblCellMar>
            <w:top w:w="0" w:type="dxa"/>
            <w:left w:w="108" w:type="dxa"/>
            <w:bottom w:w="0" w:type="dxa"/>
            <w:right w:w="108" w:type="dxa"/>
          </w:tblCellMar>
        </w:tblPrEx>
        <w:trPr>
          <w:jc w:val="center"/>
        </w:trPr>
        <w:tc>
          <w:tcPr>
            <w:tcW w:w="1704"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center"/>
              <w:rPr>
                <w:rFonts w:ascii="Arial" w:hAnsi="Arial" w:eastAsia="宋体" w:cs="宋体"/>
                <w:sz w:val="20"/>
              </w:rPr>
            </w:pPr>
            <w:r>
              <w:rPr>
                <w:rFonts w:hint="eastAsia" w:ascii="宋体" w:hAnsi="宋体" w:eastAsia="宋体" w:cs="宋体"/>
                <w:kern w:val="0"/>
                <w:sz w:val="20"/>
                <w:szCs w:val="20"/>
                <w:lang w:bidi="ar"/>
              </w:rPr>
              <w:t>承德市</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102</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宋体"/>
                <w:sz w:val="20"/>
                <w:szCs w:val="24"/>
              </w:rPr>
            </w:pPr>
            <w:r>
              <w:rPr>
                <w:rFonts w:ascii="Arial" w:hAnsi="Arial" w:eastAsia="宋体" w:cs="Arial"/>
                <w:kern w:val="0"/>
                <w:sz w:val="20"/>
                <w:szCs w:val="20"/>
                <w:lang w:bidi="ar"/>
              </w:rPr>
              <w:t>5.96%</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6</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1.43%</w:t>
            </w:r>
          </w:p>
        </w:tc>
      </w:tr>
      <w:tr>
        <w:tblPrEx>
          <w:tblLayout w:type="fixed"/>
          <w:tblCellMar>
            <w:top w:w="0" w:type="dxa"/>
            <w:left w:w="108" w:type="dxa"/>
            <w:bottom w:w="0" w:type="dxa"/>
            <w:right w:w="108" w:type="dxa"/>
          </w:tblCellMar>
        </w:tblPrEx>
        <w:trPr>
          <w:jc w:val="center"/>
        </w:trPr>
        <w:tc>
          <w:tcPr>
            <w:tcW w:w="1704"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center"/>
              <w:rPr>
                <w:rFonts w:ascii="Arial" w:hAnsi="Arial" w:eastAsia="宋体" w:cs="宋体"/>
                <w:sz w:val="20"/>
              </w:rPr>
            </w:pPr>
            <w:r>
              <w:rPr>
                <w:rFonts w:hint="eastAsia" w:ascii="宋体" w:hAnsi="宋体" w:eastAsia="宋体" w:cs="宋体"/>
                <w:kern w:val="0"/>
                <w:sz w:val="20"/>
                <w:szCs w:val="20"/>
                <w:lang w:bidi="ar"/>
              </w:rPr>
              <w:t>沧州市</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57</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宋体"/>
                <w:sz w:val="20"/>
                <w:szCs w:val="24"/>
              </w:rPr>
            </w:pPr>
            <w:r>
              <w:rPr>
                <w:rFonts w:ascii="Arial" w:hAnsi="Arial" w:eastAsia="宋体" w:cs="Arial"/>
                <w:kern w:val="0"/>
                <w:sz w:val="20"/>
                <w:szCs w:val="20"/>
                <w:lang w:bidi="ar"/>
              </w:rPr>
              <w:t>3.33%</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13</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3.10%</w:t>
            </w:r>
          </w:p>
        </w:tc>
      </w:tr>
      <w:tr>
        <w:tblPrEx>
          <w:tblLayout w:type="fixed"/>
          <w:tblCellMar>
            <w:top w:w="0" w:type="dxa"/>
            <w:left w:w="108" w:type="dxa"/>
            <w:bottom w:w="0" w:type="dxa"/>
            <w:right w:w="108" w:type="dxa"/>
          </w:tblCellMar>
        </w:tblPrEx>
        <w:trPr>
          <w:jc w:val="center"/>
        </w:trPr>
        <w:tc>
          <w:tcPr>
            <w:tcW w:w="1704"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center"/>
              <w:rPr>
                <w:rFonts w:ascii="Arial" w:hAnsi="Arial" w:eastAsia="宋体" w:cs="宋体"/>
                <w:sz w:val="20"/>
              </w:rPr>
            </w:pPr>
            <w:r>
              <w:rPr>
                <w:rFonts w:hint="eastAsia" w:ascii="宋体" w:hAnsi="宋体" w:eastAsia="宋体" w:cs="宋体"/>
                <w:kern w:val="0"/>
                <w:sz w:val="20"/>
                <w:szCs w:val="20"/>
                <w:lang w:bidi="ar"/>
              </w:rPr>
              <w:t>邢台市</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53</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宋体"/>
                <w:sz w:val="20"/>
                <w:szCs w:val="24"/>
              </w:rPr>
            </w:pPr>
            <w:r>
              <w:rPr>
                <w:rFonts w:ascii="Arial" w:hAnsi="Arial" w:eastAsia="宋体" w:cs="Arial"/>
                <w:kern w:val="0"/>
                <w:sz w:val="20"/>
                <w:szCs w:val="20"/>
                <w:lang w:bidi="ar"/>
              </w:rPr>
              <w:t>3.10%</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10</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2.39%</w:t>
            </w:r>
          </w:p>
        </w:tc>
      </w:tr>
      <w:tr>
        <w:tblPrEx>
          <w:tblLayout w:type="fixed"/>
          <w:tblCellMar>
            <w:top w:w="0" w:type="dxa"/>
            <w:left w:w="108" w:type="dxa"/>
            <w:bottom w:w="0" w:type="dxa"/>
            <w:right w:w="108" w:type="dxa"/>
          </w:tblCellMar>
        </w:tblPrEx>
        <w:trPr>
          <w:jc w:val="center"/>
        </w:trPr>
        <w:tc>
          <w:tcPr>
            <w:tcW w:w="1704"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center"/>
              <w:rPr>
                <w:rFonts w:ascii="Arial" w:hAnsi="Arial" w:eastAsia="宋体" w:cs="宋体"/>
                <w:sz w:val="20"/>
              </w:rPr>
            </w:pPr>
            <w:r>
              <w:rPr>
                <w:rFonts w:hint="eastAsia" w:ascii="宋体" w:hAnsi="宋体" w:eastAsia="宋体" w:cs="宋体"/>
                <w:kern w:val="0"/>
                <w:sz w:val="20"/>
                <w:szCs w:val="20"/>
                <w:lang w:bidi="ar"/>
              </w:rPr>
              <w:t>张家口市</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68</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宋体"/>
                <w:sz w:val="20"/>
                <w:szCs w:val="24"/>
              </w:rPr>
            </w:pPr>
            <w:r>
              <w:rPr>
                <w:rFonts w:ascii="Arial" w:hAnsi="Arial" w:eastAsia="宋体" w:cs="Arial"/>
                <w:kern w:val="0"/>
                <w:sz w:val="20"/>
                <w:szCs w:val="20"/>
                <w:lang w:bidi="ar"/>
              </w:rPr>
              <w:t>3.98%</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7</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1.67%</w:t>
            </w:r>
          </w:p>
        </w:tc>
      </w:tr>
      <w:tr>
        <w:tblPrEx>
          <w:tblLayout w:type="fixed"/>
          <w:tblCellMar>
            <w:top w:w="0" w:type="dxa"/>
            <w:left w:w="108" w:type="dxa"/>
            <w:bottom w:w="0" w:type="dxa"/>
            <w:right w:w="108" w:type="dxa"/>
          </w:tblCellMar>
        </w:tblPrEx>
        <w:trPr>
          <w:jc w:val="center"/>
        </w:trPr>
        <w:tc>
          <w:tcPr>
            <w:tcW w:w="1704"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center"/>
              <w:rPr>
                <w:rFonts w:ascii="Arial" w:hAnsi="Arial" w:eastAsia="宋体" w:cs="宋体"/>
                <w:sz w:val="20"/>
              </w:rPr>
            </w:pPr>
            <w:r>
              <w:rPr>
                <w:rFonts w:hint="eastAsia" w:ascii="宋体" w:hAnsi="宋体" w:eastAsia="宋体" w:cs="宋体"/>
                <w:kern w:val="0"/>
                <w:sz w:val="20"/>
                <w:szCs w:val="20"/>
                <w:lang w:bidi="ar"/>
              </w:rPr>
              <w:t>秦皇岛市</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59</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宋体"/>
                <w:sz w:val="20"/>
                <w:szCs w:val="24"/>
              </w:rPr>
            </w:pPr>
            <w:r>
              <w:rPr>
                <w:rFonts w:ascii="Arial" w:hAnsi="Arial" w:eastAsia="宋体" w:cs="Arial"/>
                <w:kern w:val="0"/>
                <w:sz w:val="20"/>
                <w:szCs w:val="20"/>
                <w:lang w:bidi="ar"/>
              </w:rPr>
              <w:t>3.45%</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6</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1.43%</w:t>
            </w:r>
          </w:p>
        </w:tc>
      </w:tr>
      <w:tr>
        <w:tblPrEx>
          <w:tblLayout w:type="fixed"/>
          <w:tblCellMar>
            <w:top w:w="0" w:type="dxa"/>
            <w:left w:w="108" w:type="dxa"/>
            <w:bottom w:w="0" w:type="dxa"/>
            <w:right w:w="108" w:type="dxa"/>
          </w:tblCellMar>
        </w:tblPrEx>
        <w:trPr>
          <w:jc w:val="center"/>
        </w:trPr>
        <w:tc>
          <w:tcPr>
            <w:tcW w:w="1704"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center"/>
              <w:rPr>
                <w:rFonts w:ascii="Arial" w:hAnsi="Arial" w:eastAsia="宋体" w:cs="宋体"/>
                <w:sz w:val="20"/>
              </w:rPr>
            </w:pPr>
            <w:r>
              <w:rPr>
                <w:rFonts w:hint="eastAsia" w:ascii="宋体" w:hAnsi="宋体" w:eastAsia="宋体" w:cs="宋体"/>
                <w:kern w:val="0"/>
                <w:sz w:val="20"/>
                <w:szCs w:val="20"/>
                <w:lang w:bidi="ar"/>
              </w:rPr>
              <w:t>衡水市</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34</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宋体"/>
                <w:sz w:val="20"/>
                <w:szCs w:val="24"/>
              </w:rPr>
            </w:pPr>
            <w:r>
              <w:rPr>
                <w:rFonts w:ascii="Arial" w:hAnsi="Arial" w:eastAsia="宋体" w:cs="Arial"/>
                <w:kern w:val="0"/>
                <w:sz w:val="20"/>
                <w:szCs w:val="20"/>
                <w:lang w:bidi="ar"/>
              </w:rPr>
              <w:t>1.99%</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7</w:t>
            </w:r>
          </w:p>
        </w:tc>
        <w:tc>
          <w:tcPr>
            <w:tcW w:w="1418" w:type="dxa"/>
            <w:tcBorders>
              <w:top w:val="single" w:color="4BACC6" w:sz="8" w:space="0"/>
              <w:left w:val="single" w:color="4BACC6" w:sz="8" w:space="0"/>
              <w:bottom w:val="single" w:color="4BACC6" w:sz="8" w:space="0"/>
              <w:right w:val="single" w:color="4BACC6" w:sz="8" w:space="0"/>
            </w:tcBorders>
            <w:shd w:val="clear" w:color="auto" w:fill="FFFFFF"/>
            <w:vAlign w:val="bottom"/>
          </w:tcPr>
          <w:p>
            <w:pPr>
              <w:widowControl/>
              <w:jc w:val="center"/>
              <w:textAlignment w:val="bottom"/>
              <w:rPr>
                <w:rFonts w:ascii="Arial" w:hAnsi="Arial" w:eastAsia="宋体" w:cs="宋体"/>
                <w:sz w:val="20"/>
              </w:rPr>
            </w:pPr>
            <w:r>
              <w:rPr>
                <w:rFonts w:ascii="Arial" w:hAnsi="Arial" w:eastAsia="宋体" w:cs="Arial"/>
                <w:kern w:val="0"/>
                <w:sz w:val="20"/>
                <w:szCs w:val="20"/>
                <w:lang w:bidi="ar"/>
              </w:rPr>
              <w:t>1.67%</w:t>
            </w:r>
          </w:p>
        </w:tc>
      </w:tr>
      <w:tr>
        <w:tblPrEx>
          <w:tblLayout w:type="fixed"/>
          <w:tblCellMar>
            <w:top w:w="0" w:type="dxa"/>
            <w:left w:w="108" w:type="dxa"/>
            <w:bottom w:w="0" w:type="dxa"/>
            <w:right w:w="108" w:type="dxa"/>
          </w:tblCellMar>
        </w:tblPrEx>
        <w:trPr>
          <w:jc w:val="center"/>
        </w:trPr>
        <w:tc>
          <w:tcPr>
            <w:tcW w:w="1704"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center"/>
              <w:rPr>
                <w:rFonts w:ascii="Arial" w:hAnsi="Arial" w:eastAsia="宋体" w:cs="宋体"/>
                <w:b/>
                <w:sz w:val="20"/>
              </w:rPr>
            </w:pPr>
            <w:r>
              <w:rPr>
                <w:rFonts w:hint="eastAsia" w:ascii="宋体" w:hAnsi="宋体" w:eastAsia="宋体" w:cs="宋体"/>
                <w:b/>
                <w:kern w:val="0"/>
                <w:sz w:val="20"/>
                <w:szCs w:val="20"/>
                <w:lang w:bidi="ar"/>
              </w:rPr>
              <w:t>总计</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宋体"/>
                <w:b/>
                <w:sz w:val="20"/>
              </w:rPr>
            </w:pPr>
            <w:r>
              <w:rPr>
                <w:rFonts w:ascii="Arial" w:hAnsi="Arial" w:eastAsia="宋体" w:cs="Arial"/>
                <w:kern w:val="0"/>
                <w:sz w:val="20"/>
                <w:szCs w:val="20"/>
                <w:lang w:bidi="ar"/>
              </w:rPr>
              <w:t>1710</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jc w:val="center"/>
              <w:rPr>
                <w:rFonts w:ascii="Arial" w:hAnsi="Arial" w:eastAsia="宋体" w:cs="宋体"/>
                <w:b/>
                <w:sz w:val="20"/>
              </w:rPr>
            </w:pP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widowControl/>
              <w:jc w:val="center"/>
              <w:textAlignment w:val="bottom"/>
              <w:rPr>
                <w:rFonts w:ascii="Arial" w:hAnsi="Arial" w:eastAsia="宋体" w:cs="宋体"/>
                <w:b/>
                <w:sz w:val="20"/>
              </w:rPr>
            </w:pPr>
            <w:r>
              <w:rPr>
                <w:rFonts w:ascii="Arial" w:hAnsi="Arial" w:eastAsia="宋体" w:cs="Arial"/>
                <w:kern w:val="0"/>
                <w:sz w:val="20"/>
                <w:szCs w:val="20"/>
                <w:lang w:bidi="ar"/>
              </w:rPr>
              <w:t>419</w:t>
            </w:r>
          </w:p>
        </w:tc>
        <w:tc>
          <w:tcPr>
            <w:tcW w:w="1418" w:type="dxa"/>
            <w:tcBorders>
              <w:top w:val="single" w:color="4BACC6" w:sz="8" w:space="0"/>
              <w:left w:val="single" w:color="4BACC6" w:sz="8" w:space="0"/>
              <w:bottom w:val="single" w:color="4BACC6" w:sz="8" w:space="0"/>
              <w:right w:val="single" w:color="4BACC6" w:sz="8" w:space="0"/>
            </w:tcBorders>
            <w:shd w:val="clear" w:color="auto" w:fill="B7DDE8"/>
            <w:vAlign w:val="bottom"/>
          </w:tcPr>
          <w:p>
            <w:pPr>
              <w:jc w:val="center"/>
              <w:rPr>
                <w:rFonts w:ascii="Arial" w:hAnsi="Arial" w:eastAsia="宋体" w:cs="宋体"/>
                <w:b/>
                <w:sz w:val="20"/>
              </w:rPr>
            </w:pPr>
          </w:p>
        </w:tc>
      </w:tr>
    </w:tbl>
    <w:p>
      <w:pPr>
        <w:pStyle w:val="4"/>
        <w:autoSpaceDE w:val="0"/>
        <w:spacing w:beforeLines="0" w:afterLines="0" w:line="312" w:lineRule="auto"/>
        <w:ind w:firstLine="0" w:firstLineChars="0"/>
        <w:jc w:val="both"/>
        <w:rPr>
          <w:rFonts w:eastAsia="黑体"/>
          <w:bCs w:val="0"/>
          <w:snapToGrid/>
          <w:sz w:val="28"/>
          <w:szCs w:val="28"/>
        </w:rPr>
      </w:pPr>
      <w:bookmarkStart w:id="86" w:name="_Toc501407796"/>
      <w:bookmarkStart w:id="87" w:name="_Toc425351650"/>
      <w:bookmarkStart w:id="88" w:name="_Toc425351787"/>
      <w:r>
        <w:rPr>
          <w:rFonts w:hint="eastAsia" w:eastAsia="黑体"/>
          <w:bCs w:val="0"/>
          <w:snapToGrid/>
          <w:sz w:val="28"/>
          <w:szCs w:val="28"/>
        </w:rPr>
        <w:t>（二）2017届毕业生就业行业分布情况</w:t>
      </w:r>
      <w:bookmarkEnd w:id="86"/>
    </w:p>
    <w:p>
      <w:pPr>
        <w:pStyle w:val="33"/>
        <w:spacing w:before="180" w:after="180" w:afterLines="0" w:line="360" w:lineRule="auto"/>
        <w:ind w:firstLine="482" w:firstLineChars="200"/>
        <w:outlineLvl w:val="2"/>
        <w:rPr>
          <w:rFonts w:ascii="Times New Roman" w:hAnsi="Times New Roman" w:eastAsia="宋体"/>
          <w:sz w:val="24"/>
          <w:szCs w:val="24"/>
        </w:rPr>
      </w:pPr>
      <w:bookmarkStart w:id="89" w:name="_Toc430099493"/>
      <w:bookmarkStart w:id="90" w:name="_Toc429218592"/>
      <w:bookmarkStart w:id="91" w:name="_Toc501407797"/>
      <w:r>
        <w:rPr>
          <w:rFonts w:hint="eastAsia" w:ascii="Times New Roman" w:hAnsi="Times New Roman" w:eastAsia="宋体"/>
          <w:sz w:val="24"/>
          <w:szCs w:val="24"/>
        </w:rPr>
        <w:t>1</w:t>
      </w:r>
      <w:bookmarkEnd w:id="87"/>
      <w:bookmarkEnd w:id="88"/>
      <w:r>
        <w:rPr>
          <w:rFonts w:hint="eastAsia" w:ascii="Times New Roman" w:hAnsi="Times New Roman" w:eastAsia="宋体"/>
          <w:sz w:val="24"/>
          <w:szCs w:val="24"/>
        </w:rPr>
        <w:t>．2017届本科毕业生</w:t>
      </w:r>
      <w:bookmarkEnd w:id="89"/>
      <w:bookmarkEnd w:id="90"/>
      <w:r>
        <w:rPr>
          <w:rFonts w:hint="eastAsia" w:ascii="Times New Roman" w:hAnsi="Times New Roman" w:eastAsia="宋体"/>
          <w:sz w:val="24"/>
          <w:szCs w:val="24"/>
        </w:rPr>
        <w:t>就业行业分布情况</w:t>
      </w:r>
      <w:bookmarkEnd w:id="91"/>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按毕业生在行业内就业的人数来看，排名前十位的行业如下图所示。文化、体育和娱乐业为本科毕业生的主要行业流向，所占比例为47.53%，这与学校人才培养方向相符；其次为教育行业及信息传输、软件和信息技术服务业，占比分别为12.59%和8.52%。 </w:t>
      </w:r>
    </w:p>
    <w:p>
      <w:pPr>
        <w:pStyle w:val="32"/>
        <w:spacing w:before="156" w:after="156"/>
        <w:ind w:firstLine="477" w:firstLineChars="199"/>
        <w:jc w:val="center"/>
        <w:rPr>
          <w:rFonts w:ascii="Times New Roman" w:hAnsi="Times New Roman"/>
          <w:color w:val="auto"/>
        </w:rPr>
      </w:pPr>
      <w:r>
        <w:rPr>
          <w:color w:val="auto"/>
        </w:rPr>
        <w:drawing>
          <wp:anchor distT="0" distB="0" distL="114935" distR="114935" simplePos="0" relativeHeight="251672576" behindDoc="0" locked="0" layoutInCell="1" allowOverlap="1">
            <wp:simplePos x="0" y="0"/>
            <wp:positionH relativeFrom="column">
              <wp:posOffset>238125</wp:posOffset>
            </wp:positionH>
            <wp:positionV relativeFrom="paragraph">
              <wp:posOffset>78740</wp:posOffset>
            </wp:positionV>
            <wp:extent cx="4429125" cy="1817370"/>
            <wp:effectExtent l="0" t="0" r="0" b="0"/>
            <wp:wrapNone/>
            <wp:docPr id="257" name="图片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25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429125" cy="1817227"/>
                    </a:xfrm>
                    <a:prstGeom prst="rect">
                      <a:avLst/>
                    </a:prstGeom>
                  </pic:spPr>
                </pic:pic>
              </a:graphicData>
            </a:graphic>
          </wp:anchor>
        </w:drawing>
      </w:r>
    </w:p>
    <w:p>
      <w:pPr>
        <w:pStyle w:val="32"/>
        <w:spacing w:before="156" w:after="156"/>
        <w:ind w:firstLine="477" w:firstLineChars="199"/>
        <w:jc w:val="center"/>
        <w:rPr>
          <w:rFonts w:ascii="Times New Roman" w:hAnsi="Times New Roman" w:cs="Times New Roman"/>
          <w:snapToGrid w:val="0"/>
          <w:color w:val="auto"/>
        </w:rPr>
      </w:pPr>
    </w:p>
    <w:p>
      <w:pPr>
        <w:pStyle w:val="32"/>
        <w:spacing w:before="156" w:after="156"/>
        <w:ind w:firstLine="477" w:firstLineChars="199"/>
        <w:jc w:val="center"/>
        <w:rPr>
          <w:rFonts w:ascii="Times New Roman" w:hAnsi="Times New Roman" w:cs="Times New Roman"/>
          <w:snapToGrid w:val="0"/>
          <w:color w:val="auto"/>
        </w:rPr>
      </w:pPr>
    </w:p>
    <w:p>
      <w:pPr>
        <w:pStyle w:val="32"/>
        <w:spacing w:before="156" w:after="156"/>
        <w:ind w:firstLine="477" w:firstLineChars="199"/>
        <w:jc w:val="center"/>
        <w:rPr>
          <w:rFonts w:ascii="Times New Roman" w:hAnsi="Times New Roman" w:cs="Times New Roman"/>
          <w:snapToGrid w:val="0"/>
          <w:color w:val="auto"/>
        </w:rPr>
      </w:pPr>
    </w:p>
    <w:p>
      <w:pPr>
        <w:pStyle w:val="32"/>
        <w:spacing w:before="156" w:after="156"/>
        <w:ind w:firstLine="477" w:firstLineChars="199"/>
        <w:jc w:val="center"/>
        <w:rPr>
          <w:rFonts w:ascii="Times New Roman" w:hAnsi="Times New Roman" w:cs="Times New Roman"/>
          <w:snapToGrid w:val="0"/>
          <w:color w:val="auto"/>
        </w:rPr>
      </w:pP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图1-6 2017届本科毕业生就业行业分布情况</w:t>
      </w:r>
    </w:p>
    <w:p>
      <w:pPr>
        <w:pStyle w:val="33"/>
        <w:spacing w:before="180" w:after="180" w:afterLines="0" w:line="360" w:lineRule="auto"/>
        <w:ind w:firstLine="482" w:firstLineChars="200"/>
        <w:outlineLvl w:val="2"/>
        <w:rPr>
          <w:rFonts w:ascii="Times New Roman" w:hAnsi="Times New Roman" w:eastAsia="宋体"/>
          <w:sz w:val="24"/>
          <w:szCs w:val="24"/>
        </w:rPr>
      </w:pPr>
      <w:bookmarkStart w:id="92" w:name="_Toc425351651"/>
      <w:bookmarkStart w:id="93" w:name="_Toc425351788"/>
      <w:bookmarkStart w:id="94" w:name="_Toc430099494"/>
      <w:bookmarkStart w:id="95" w:name="_Toc429218593"/>
      <w:bookmarkStart w:id="96" w:name="_Toc501407798"/>
      <w:r>
        <w:rPr>
          <w:rFonts w:hint="eastAsia" w:ascii="Times New Roman" w:hAnsi="Times New Roman" w:eastAsia="宋体"/>
          <w:sz w:val="24"/>
          <w:szCs w:val="24"/>
        </w:rPr>
        <w:t>2</w:t>
      </w:r>
      <w:bookmarkEnd w:id="92"/>
      <w:bookmarkEnd w:id="93"/>
      <w:r>
        <w:rPr>
          <w:rFonts w:hint="eastAsia" w:ascii="Times New Roman" w:hAnsi="Times New Roman" w:eastAsia="宋体"/>
          <w:sz w:val="24"/>
          <w:szCs w:val="24"/>
        </w:rPr>
        <w:t>．</w:t>
      </w:r>
      <w:bookmarkEnd w:id="94"/>
      <w:bookmarkEnd w:id="95"/>
      <w:r>
        <w:rPr>
          <w:rFonts w:hint="eastAsia" w:ascii="Times New Roman" w:hAnsi="Times New Roman" w:eastAsia="宋体"/>
          <w:sz w:val="24"/>
          <w:szCs w:val="24"/>
        </w:rPr>
        <w:t>2017届专科毕业生就业行业分布情况</w:t>
      </w:r>
      <w:bookmarkEnd w:id="96"/>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按毕业生在行业内就业的人数来看，排名前十位的行业如下图所示。文化、体育和娱乐业为专科毕业生的主要行业流向，所占比例为29.32%，这与学校人才培养方向相符；其次为信息传输、软件和信息技术服务业及教育行业，占比分别为22.82%和13.85%。</w:t>
      </w:r>
    </w:p>
    <w:p>
      <w:pPr>
        <w:pStyle w:val="32"/>
        <w:spacing w:before="156" w:after="156"/>
        <w:ind w:firstLine="0" w:firstLineChars="0"/>
        <w:jc w:val="center"/>
        <w:rPr>
          <w:rFonts w:ascii="Times New Roman" w:hAnsi="Times New Roman"/>
          <w:color w:val="auto"/>
        </w:rPr>
      </w:pPr>
      <w:r>
        <w:rPr>
          <w:color w:val="auto"/>
        </w:rPr>
        <w:drawing>
          <wp:inline distT="0" distB="0" distL="0" distR="0">
            <wp:extent cx="4248785" cy="2143125"/>
            <wp:effectExtent l="0" t="0" r="0" b="0"/>
            <wp:docPr id="258" name="图片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258"/>
                    <pic:cNvPicPr>
                      <a:picLocks noChangeAspect="1"/>
                    </pic:cNvPicPr>
                  </pic:nvPicPr>
                  <pic:blipFill>
                    <a:blip r:embed="rId15"/>
                    <a:stretch>
                      <a:fillRect/>
                    </a:stretch>
                  </pic:blipFill>
                  <pic:spPr>
                    <a:xfrm>
                      <a:off x="0" y="0"/>
                      <a:ext cx="4249019" cy="2143125"/>
                    </a:xfrm>
                    <a:prstGeom prst="rect">
                      <a:avLst/>
                    </a:prstGeom>
                  </pic:spPr>
                </pic:pic>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图1-7 2017届专科毕业生就业行业分布情况</w:t>
      </w:r>
    </w:p>
    <w:p>
      <w:pPr>
        <w:pStyle w:val="3"/>
        <w:autoSpaceDE w:val="0"/>
        <w:spacing w:line="312" w:lineRule="auto"/>
        <w:rPr>
          <w:rFonts w:ascii="Times New Roman" w:hAnsi="Times New Roman" w:eastAsia="黑体" w:cs="Times New Roman"/>
        </w:rPr>
      </w:pPr>
      <w:bookmarkStart w:id="97" w:name="_Toc501407799"/>
      <w:r>
        <w:rPr>
          <w:rFonts w:hint="eastAsia" w:ascii="Times New Roman" w:hAnsi="Times New Roman" w:eastAsia="黑体" w:cs="Times New Roman"/>
        </w:rPr>
        <w:t>四</w:t>
      </w:r>
      <w:r>
        <w:rPr>
          <w:rFonts w:ascii="Times New Roman" w:hAnsi="Times New Roman" w:eastAsia="黑体" w:cs="Times New Roman"/>
        </w:rPr>
        <w:t>、</w:t>
      </w:r>
      <w:r>
        <w:rPr>
          <w:rFonts w:hint="eastAsia" w:ascii="Times New Roman" w:hAnsi="Times New Roman" w:eastAsia="黑体" w:cs="Times New Roman"/>
        </w:rPr>
        <w:t>2017届毕业生月薪水平</w:t>
      </w:r>
      <w:bookmarkEnd w:id="97"/>
    </w:p>
    <w:p>
      <w:pPr>
        <w:pStyle w:val="4"/>
        <w:autoSpaceDE w:val="0"/>
        <w:spacing w:beforeLines="0" w:afterLines="0" w:line="312" w:lineRule="auto"/>
        <w:ind w:firstLine="0" w:firstLineChars="0"/>
        <w:jc w:val="both"/>
        <w:rPr>
          <w:rFonts w:eastAsia="黑体"/>
          <w:bCs w:val="0"/>
          <w:snapToGrid/>
          <w:sz w:val="28"/>
          <w:szCs w:val="28"/>
        </w:rPr>
      </w:pPr>
      <w:bookmarkStart w:id="98" w:name="_Toc501407800"/>
      <w:r>
        <w:rPr>
          <w:rFonts w:hint="eastAsia" w:eastAsia="黑体"/>
          <w:bCs w:val="0"/>
          <w:snapToGrid/>
          <w:sz w:val="28"/>
          <w:szCs w:val="28"/>
        </w:rPr>
        <w:t>（一</w:t>
      </w:r>
      <w:r>
        <w:rPr>
          <w:rFonts w:eastAsia="黑体"/>
          <w:bCs w:val="0"/>
          <w:snapToGrid/>
          <w:sz w:val="28"/>
          <w:szCs w:val="28"/>
        </w:rPr>
        <w:t>）</w:t>
      </w:r>
      <w:r>
        <w:rPr>
          <w:rFonts w:hint="eastAsia" w:eastAsia="黑体"/>
          <w:bCs w:val="0"/>
          <w:snapToGrid/>
          <w:sz w:val="28"/>
          <w:szCs w:val="28"/>
        </w:rPr>
        <w:t>2017届毕业生总体月薪</w:t>
      </w:r>
      <w:bookmarkEnd w:id="98"/>
    </w:p>
    <w:p>
      <w:pPr>
        <w:pStyle w:val="33"/>
        <w:spacing w:before="180" w:after="180" w:afterLines="0" w:line="360" w:lineRule="auto"/>
        <w:ind w:firstLine="482" w:firstLineChars="200"/>
        <w:outlineLvl w:val="2"/>
        <w:rPr>
          <w:rFonts w:ascii="Times New Roman" w:hAnsi="Times New Roman" w:eastAsia="宋体"/>
          <w:sz w:val="24"/>
          <w:szCs w:val="24"/>
        </w:rPr>
      </w:pPr>
      <w:bookmarkStart w:id="99" w:name="_Toc501407801"/>
      <w:r>
        <w:rPr>
          <w:rFonts w:ascii="Times New Roman" w:hAnsi="Times New Roman" w:eastAsia="宋体"/>
          <w:sz w:val="24"/>
          <w:szCs w:val="24"/>
        </w:rPr>
        <w:t xml:space="preserve">1. </w:t>
      </w:r>
      <w:r>
        <w:rPr>
          <w:rFonts w:hint="eastAsia" w:ascii="Times New Roman" w:hAnsi="Times New Roman" w:eastAsia="宋体"/>
          <w:sz w:val="24"/>
          <w:szCs w:val="24"/>
        </w:rPr>
        <w:t>分层次2017届毕业生的月薪分布</w:t>
      </w:r>
      <w:bookmarkEnd w:id="99"/>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学校2017届</w:t>
      </w:r>
      <w:r>
        <w:rPr>
          <w:rFonts w:ascii="Times New Roman" w:hAnsi="Times New Roman" w:eastAsia="宋体" w:cs="Times New Roman"/>
          <w:sz w:val="24"/>
          <w:szCs w:val="24"/>
        </w:rPr>
        <w:t>毕业生</w:t>
      </w:r>
      <w:r>
        <w:rPr>
          <w:rFonts w:hint="eastAsia" w:ascii="Times New Roman" w:hAnsi="Times New Roman" w:eastAsia="宋体" w:cs="Times New Roman"/>
          <w:sz w:val="24"/>
          <w:szCs w:val="24"/>
        </w:rPr>
        <w:t>总体平均月薪4681.93元</w:t>
      </w:r>
      <w:r>
        <w:rPr>
          <w:rFonts w:ascii="Times New Roman" w:hAnsi="Times New Roman" w:eastAsia="宋体" w:cs="Times New Roman"/>
          <w:sz w:val="24"/>
          <w:szCs w:val="24"/>
        </w:rPr>
        <w:t>，</w:t>
      </w:r>
      <w:r>
        <w:rPr>
          <w:rFonts w:hint="eastAsia" w:ascii="Times New Roman" w:hAnsi="Times New Roman" w:eastAsia="宋体" w:cs="Times New Roman"/>
          <w:sz w:val="24"/>
          <w:szCs w:val="24"/>
        </w:rPr>
        <w:t>其中</w:t>
      </w:r>
      <w:r>
        <w:rPr>
          <w:rFonts w:ascii="Times New Roman" w:hAnsi="Times New Roman" w:eastAsia="宋体" w:cs="Times New Roman"/>
          <w:sz w:val="24"/>
          <w:szCs w:val="24"/>
        </w:rPr>
        <w:t>本科毕业生</w:t>
      </w:r>
      <w:r>
        <w:rPr>
          <w:rFonts w:hint="eastAsia" w:ascii="Times New Roman" w:hAnsi="Times New Roman" w:eastAsia="宋体" w:cs="Times New Roman"/>
          <w:sz w:val="24"/>
          <w:szCs w:val="24"/>
        </w:rPr>
        <w:t>比总体月薪水平略高</w:t>
      </w:r>
      <w:r>
        <w:rPr>
          <w:rFonts w:ascii="Times New Roman" w:hAnsi="Times New Roman" w:eastAsia="宋体" w:cs="Times New Roman"/>
          <w:sz w:val="24"/>
          <w:szCs w:val="24"/>
        </w:rPr>
        <w:t>，为</w:t>
      </w:r>
      <w:r>
        <w:rPr>
          <w:rFonts w:hint="eastAsia" w:ascii="Times New Roman" w:hAnsi="Times New Roman" w:eastAsia="宋体" w:cs="Times New Roman"/>
          <w:sz w:val="24"/>
          <w:szCs w:val="24"/>
        </w:rPr>
        <w:t>4821.56元；</w:t>
      </w:r>
      <w:r>
        <w:rPr>
          <w:rFonts w:ascii="Times New Roman" w:hAnsi="Times New Roman" w:eastAsia="宋体" w:cs="Times New Roman"/>
          <w:sz w:val="24"/>
          <w:szCs w:val="24"/>
        </w:rPr>
        <w:t>专科毕业生比总体</w:t>
      </w:r>
      <w:r>
        <w:rPr>
          <w:rFonts w:hint="eastAsia" w:ascii="Times New Roman" w:hAnsi="Times New Roman" w:eastAsia="宋体" w:cs="Times New Roman"/>
          <w:sz w:val="24"/>
          <w:szCs w:val="24"/>
        </w:rPr>
        <w:t>月薪</w:t>
      </w:r>
      <w:r>
        <w:rPr>
          <w:rFonts w:ascii="Times New Roman" w:hAnsi="Times New Roman" w:eastAsia="宋体" w:cs="Times New Roman"/>
          <w:sz w:val="24"/>
          <w:szCs w:val="24"/>
        </w:rPr>
        <w:t>水平略低，为</w:t>
      </w:r>
      <w:r>
        <w:rPr>
          <w:rFonts w:hint="eastAsia" w:ascii="Times New Roman" w:hAnsi="Times New Roman" w:eastAsia="宋体" w:cs="Times New Roman"/>
          <w:sz w:val="24"/>
          <w:szCs w:val="24"/>
        </w:rPr>
        <w:t>4057.35元</w:t>
      </w:r>
      <w:r>
        <w:rPr>
          <w:rFonts w:ascii="Times New Roman" w:hAnsi="Times New Roman" w:eastAsia="宋体" w:cs="Times New Roman"/>
          <w:sz w:val="24"/>
          <w:szCs w:val="24"/>
        </w:rPr>
        <w:t>。</w:t>
      </w:r>
    </w:p>
    <w:p>
      <w:r>
        <w:rPr>
          <w:rFonts w:hint="eastAsia"/>
        </w:rPr>
        <w:t xml:space="preserve">        </w:t>
      </w:r>
      <w:r>
        <w:drawing>
          <wp:inline distT="0" distB="0" distL="0" distR="0">
            <wp:extent cx="4184015" cy="2215515"/>
            <wp:effectExtent l="0" t="0" r="26035" b="13335"/>
            <wp:docPr id="264" name="图表 2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tabs>
          <w:tab w:val="center" w:pos="4153"/>
        </w:tabs>
        <w:jc w:val="center"/>
        <w:rPr>
          <w:rFonts w:ascii="Calibri" w:hAnsi="Calibri"/>
        </w:rPr>
      </w:pPr>
      <w:r>
        <w:rPr>
          <w:rFonts w:hint="eastAsia" w:ascii="Times New Roman" w:hAnsi="Times New Roman" w:eastAsia="宋体" w:cs="Times New Roman"/>
          <w:snapToGrid w:val="0"/>
          <w:sz w:val="24"/>
          <w:szCs w:val="24"/>
        </w:rPr>
        <w:t>图1-8 2017届毕业生分层次月薪分布</w:t>
      </w:r>
    </w:p>
    <w:p>
      <w:pPr>
        <w:spacing w:before="156" w:beforeLines="50" w:after="156" w:afterLines="50" w:line="312" w:lineRule="auto"/>
        <w:ind w:firstLine="420" w:firstLineChars="200"/>
        <w:rPr>
          <w:rFonts w:ascii="Times New Roman" w:hAnsi="Times New Roman"/>
          <w:szCs w:val="18"/>
        </w:rPr>
      </w:pPr>
      <w:r>
        <w:rPr>
          <w:rFonts w:hint="eastAsia" w:ascii="Times New Roman" w:hAnsi="Times New Roman"/>
          <w:szCs w:val="18"/>
        </w:rPr>
        <w:t>注：薪酬包括能折算为现金的工资、福利等。</w:t>
      </w:r>
    </w:p>
    <w:p>
      <w:pPr>
        <w:pStyle w:val="33"/>
        <w:spacing w:before="180" w:after="180" w:afterLines="0" w:line="360" w:lineRule="auto"/>
        <w:ind w:firstLine="482" w:firstLineChars="200"/>
        <w:outlineLvl w:val="2"/>
        <w:rPr>
          <w:rFonts w:ascii="Times New Roman" w:hAnsi="Times New Roman" w:eastAsia="宋体"/>
          <w:sz w:val="24"/>
          <w:szCs w:val="24"/>
        </w:rPr>
      </w:pPr>
      <w:bookmarkStart w:id="100" w:name="_Toc501407802"/>
      <w:r>
        <w:rPr>
          <w:rFonts w:hint="eastAsia" w:ascii="Times New Roman" w:hAnsi="Times New Roman" w:eastAsia="宋体"/>
          <w:sz w:val="24"/>
          <w:szCs w:val="24"/>
        </w:rPr>
        <w:t>2. 分层次2017届毕业生的月薪分布</w:t>
      </w:r>
      <w:bookmarkEnd w:id="100"/>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学校2017届专科毕业生的月薪</w:t>
      </w:r>
      <w:r>
        <w:rPr>
          <w:rFonts w:ascii="Times New Roman" w:hAnsi="Times New Roman" w:eastAsia="宋体" w:cs="Times New Roman"/>
          <w:sz w:val="24"/>
          <w:szCs w:val="24"/>
        </w:rPr>
        <w:t>集中在</w:t>
      </w:r>
      <w:r>
        <w:rPr>
          <w:rFonts w:hint="eastAsia" w:ascii="Times New Roman" w:hAnsi="Times New Roman" w:eastAsia="宋体" w:cs="Times New Roman"/>
          <w:sz w:val="24"/>
          <w:szCs w:val="24"/>
        </w:rPr>
        <w:t>2501</w:t>
      </w:r>
      <w:r>
        <w:rPr>
          <w:rFonts w:ascii="Times New Roman" w:hAnsi="Times New Roman" w:eastAsia="宋体" w:cs="Times New Roman"/>
          <w:sz w:val="24"/>
          <w:szCs w:val="24"/>
        </w:rPr>
        <w:t>-</w:t>
      </w:r>
      <w:r>
        <w:rPr>
          <w:rFonts w:hint="eastAsia" w:ascii="Times New Roman" w:hAnsi="Times New Roman" w:eastAsia="宋体" w:cs="Times New Roman"/>
          <w:sz w:val="24"/>
          <w:szCs w:val="24"/>
        </w:rPr>
        <w:t>4500元；本科</w:t>
      </w:r>
      <w:r>
        <w:rPr>
          <w:rFonts w:ascii="Times New Roman" w:hAnsi="Times New Roman" w:eastAsia="宋体" w:cs="Times New Roman"/>
          <w:sz w:val="24"/>
          <w:szCs w:val="24"/>
        </w:rPr>
        <w:t>毕业生</w:t>
      </w:r>
      <w:r>
        <w:rPr>
          <w:rFonts w:hint="eastAsia" w:ascii="Times New Roman" w:hAnsi="Times New Roman" w:eastAsia="宋体" w:cs="Times New Roman"/>
          <w:sz w:val="24"/>
          <w:szCs w:val="24"/>
        </w:rPr>
        <w:t>四</w:t>
      </w:r>
      <w:r>
        <w:rPr>
          <w:rFonts w:ascii="Times New Roman" w:hAnsi="Times New Roman" w:eastAsia="宋体" w:cs="Times New Roman"/>
          <w:sz w:val="24"/>
          <w:szCs w:val="24"/>
        </w:rPr>
        <w:t>成以上</w:t>
      </w:r>
      <w:r>
        <w:rPr>
          <w:rFonts w:hint="eastAsia" w:ascii="Times New Roman" w:hAnsi="Times New Roman" w:eastAsia="宋体" w:cs="Times New Roman"/>
          <w:sz w:val="24"/>
          <w:szCs w:val="24"/>
        </w:rPr>
        <w:t>的月薪</w:t>
      </w:r>
      <w:r>
        <w:rPr>
          <w:rFonts w:ascii="Times New Roman" w:hAnsi="Times New Roman" w:eastAsia="宋体" w:cs="Times New Roman"/>
          <w:sz w:val="24"/>
          <w:szCs w:val="24"/>
        </w:rPr>
        <w:t>集中在</w:t>
      </w:r>
      <w:r>
        <w:rPr>
          <w:rFonts w:hint="eastAsia" w:ascii="Times New Roman" w:hAnsi="Times New Roman" w:eastAsia="宋体" w:cs="Times New Roman"/>
          <w:sz w:val="24"/>
          <w:szCs w:val="24"/>
        </w:rPr>
        <w:t>3500</w:t>
      </w:r>
      <w:r>
        <w:rPr>
          <w:rFonts w:ascii="Times New Roman" w:hAnsi="Times New Roman" w:eastAsia="宋体" w:cs="Times New Roman"/>
          <w:sz w:val="24"/>
          <w:szCs w:val="24"/>
        </w:rPr>
        <w:t>-</w:t>
      </w:r>
      <w:r>
        <w:rPr>
          <w:rFonts w:hint="eastAsia" w:ascii="Times New Roman" w:hAnsi="Times New Roman" w:eastAsia="宋体" w:cs="Times New Roman"/>
          <w:sz w:val="24"/>
          <w:szCs w:val="24"/>
        </w:rPr>
        <w:t>45</w:t>
      </w:r>
      <w:r>
        <w:rPr>
          <w:rFonts w:ascii="Times New Roman" w:hAnsi="Times New Roman" w:eastAsia="宋体" w:cs="Times New Roman"/>
          <w:sz w:val="24"/>
          <w:szCs w:val="24"/>
        </w:rPr>
        <w:t>00</w:t>
      </w:r>
      <w:r>
        <w:rPr>
          <w:rFonts w:hint="eastAsia" w:ascii="Times New Roman" w:hAnsi="Times New Roman" w:eastAsia="宋体" w:cs="Times New Roman"/>
          <w:sz w:val="24"/>
          <w:szCs w:val="24"/>
        </w:rPr>
        <w:t>元</w:t>
      </w:r>
      <w:r>
        <w:rPr>
          <w:rFonts w:ascii="Times New Roman" w:hAnsi="Times New Roman" w:eastAsia="宋体" w:cs="Times New Roman"/>
          <w:sz w:val="24"/>
          <w:szCs w:val="24"/>
        </w:rPr>
        <w:t>，两成以上集中在</w:t>
      </w:r>
      <w:r>
        <w:rPr>
          <w:rFonts w:hint="eastAsia" w:ascii="Times New Roman" w:hAnsi="Times New Roman" w:eastAsia="宋体" w:cs="Times New Roman"/>
          <w:sz w:val="24"/>
          <w:szCs w:val="24"/>
        </w:rPr>
        <w:t>4501</w:t>
      </w:r>
      <w:r>
        <w:rPr>
          <w:rFonts w:ascii="Times New Roman" w:hAnsi="Times New Roman" w:eastAsia="宋体" w:cs="Times New Roman"/>
          <w:sz w:val="24"/>
          <w:szCs w:val="24"/>
        </w:rPr>
        <w:t>-</w:t>
      </w:r>
      <w:r>
        <w:rPr>
          <w:rFonts w:hint="eastAsia" w:ascii="Times New Roman" w:hAnsi="Times New Roman" w:eastAsia="宋体" w:cs="Times New Roman"/>
          <w:sz w:val="24"/>
          <w:szCs w:val="24"/>
        </w:rPr>
        <w:t>60</w:t>
      </w:r>
      <w:r>
        <w:rPr>
          <w:rFonts w:ascii="Times New Roman" w:hAnsi="Times New Roman" w:eastAsia="宋体" w:cs="Times New Roman"/>
          <w:sz w:val="24"/>
          <w:szCs w:val="24"/>
        </w:rPr>
        <w:t>00</w:t>
      </w:r>
      <w:r>
        <w:rPr>
          <w:rFonts w:hint="eastAsia" w:ascii="Times New Roman" w:hAnsi="Times New Roman" w:eastAsia="宋体" w:cs="Times New Roman"/>
          <w:sz w:val="24"/>
          <w:szCs w:val="24"/>
        </w:rPr>
        <w:t>元。</w:t>
      </w:r>
    </w:p>
    <w:p>
      <w:pPr>
        <w:tabs>
          <w:tab w:val="center" w:pos="4153"/>
        </w:tabs>
        <w:jc w:val="center"/>
        <w:rPr>
          <w:rFonts w:ascii="Times New Roman" w:hAnsi="Times New Roman" w:eastAsia="宋体" w:cs="Times New Roman"/>
          <w:snapToGrid w:val="0"/>
          <w:sz w:val="24"/>
          <w:szCs w:val="24"/>
        </w:rPr>
      </w:pPr>
      <w:r>
        <w:drawing>
          <wp:inline distT="0" distB="0" distL="0" distR="0">
            <wp:extent cx="4676775" cy="2181225"/>
            <wp:effectExtent l="0" t="0" r="9525" b="9525"/>
            <wp:docPr id="265" name="图表 2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tabs>
          <w:tab w:val="center" w:pos="4153"/>
        </w:tabs>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图1-9 2017届毕业生分层次月薪区间分布</w:t>
      </w:r>
    </w:p>
    <w:p>
      <w:pPr>
        <w:pStyle w:val="4"/>
        <w:autoSpaceDE w:val="0"/>
        <w:spacing w:beforeLines="0" w:afterLines="0" w:line="312" w:lineRule="auto"/>
        <w:ind w:firstLine="0" w:firstLineChars="0"/>
        <w:jc w:val="both"/>
        <w:rPr>
          <w:rFonts w:eastAsia="黑体"/>
          <w:bCs w:val="0"/>
          <w:snapToGrid/>
          <w:sz w:val="28"/>
          <w:szCs w:val="28"/>
        </w:rPr>
      </w:pPr>
      <w:bookmarkStart w:id="101" w:name="_Toc501407803"/>
      <w:r>
        <w:rPr>
          <w:rFonts w:hint="eastAsia" w:eastAsia="黑体"/>
          <w:bCs w:val="0"/>
          <w:snapToGrid/>
          <w:sz w:val="28"/>
          <w:szCs w:val="28"/>
        </w:rPr>
        <w:t>（二</w:t>
      </w:r>
      <w:r>
        <w:rPr>
          <w:rFonts w:eastAsia="黑体"/>
          <w:bCs w:val="0"/>
          <w:snapToGrid/>
          <w:sz w:val="28"/>
          <w:szCs w:val="28"/>
        </w:rPr>
        <w:t>）</w:t>
      </w:r>
      <w:r>
        <w:rPr>
          <w:rFonts w:hint="eastAsia" w:eastAsia="黑体"/>
          <w:bCs w:val="0"/>
          <w:snapToGrid/>
          <w:sz w:val="28"/>
          <w:szCs w:val="28"/>
        </w:rPr>
        <w:t>近三届毕业生平均月薪变化趋势</w:t>
      </w:r>
      <w:bookmarkEnd w:id="101"/>
    </w:p>
    <w:p>
      <w:pPr>
        <w:autoSpaceDE w:val="0"/>
        <w:spacing w:line="360" w:lineRule="auto"/>
        <w:ind w:firstLine="480" w:firstLineChars="200"/>
        <w:rPr>
          <w:rFonts w:ascii="Calibri" w:hAnsi="Calibri"/>
        </w:rPr>
      </w:pPr>
      <w:r>
        <w:rPr>
          <w:rFonts w:hint="eastAsia" w:ascii="Times New Roman" w:hAnsi="Times New Roman" w:eastAsia="宋体" w:cs="Times New Roman"/>
          <w:sz w:val="24"/>
          <w:szCs w:val="24"/>
          <w:lang w:eastAsia="zh-CN"/>
        </w:rPr>
        <w:t>通过与</w:t>
      </w:r>
      <w:r>
        <w:rPr>
          <w:rFonts w:hint="eastAsia" w:ascii="Times New Roman" w:hAnsi="Times New Roman" w:eastAsia="宋体" w:cs="Times New Roman"/>
          <w:sz w:val="24"/>
          <w:szCs w:val="24"/>
        </w:rPr>
        <w:t>第三方新锦成</w:t>
      </w:r>
      <w:r>
        <w:rPr>
          <w:rFonts w:hint="eastAsia" w:ascii="Times New Roman" w:hAnsi="Times New Roman" w:eastAsia="宋体" w:cs="Times New Roman"/>
          <w:sz w:val="24"/>
          <w:szCs w:val="24"/>
          <w:lang w:eastAsia="zh-CN"/>
        </w:rPr>
        <w:t>教育科技有限</w:t>
      </w:r>
      <w:r>
        <w:rPr>
          <w:rFonts w:hint="eastAsia" w:ascii="Times New Roman" w:hAnsi="Times New Roman" w:eastAsia="宋体" w:cs="Times New Roman"/>
          <w:sz w:val="24"/>
          <w:szCs w:val="24"/>
        </w:rPr>
        <w:t>公司</w:t>
      </w:r>
      <w:r>
        <w:rPr>
          <w:rFonts w:hint="eastAsia" w:ascii="Times New Roman" w:hAnsi="Times New Roman" w:eastAsia="宋体" w:cs="Times New Roman"/>
          <w:sz w:val="24"/>
          <w:szCs w:val="24"/>
          <w:lang w:eastAsia="zh-CN"/>
        </w:rPr>
        <w:t>所做的</w:t>
      </w:r>
      <w:r>
        <w:rPr>
          <w:rFonts w:hint="eastAsia" w:ascii="Times New Roman" w:hAnsi="Times New Roman" w:eastAsia="宋体" w:cs="Times New Roman"/>
          <w:sz w:val="24"/>
          <w:szCs w:val="24"/>
          <w:lang w:val="en-US" w:eastAsia="zh-CN"/>
        </w:rPr>
        <w:t>2015届、2016届毕业生税后月平均工资水平</w:t>
      </w:r>
      <w:r>
        <w:rPr>
          <w:rFonts w:hint="eastAsia" w:ascii="Times New Roman" w:hAnsi="Times New Roman" w:eastAsia="宋体" w:cs="Times New Roman"/>
          <w:sz w:val="24"/>
          <w:szCs w:val="24"/>
        </w:rPr>
        <w:t>的</w:t>
      </w:r>
      <w:r>
        <w:rPr>
          <w:rFonts w:hint="eastAsia" w:ascii="Times New Roman" w:hAnsi="Times New Roman" w:eastAsia="宋体" w:cs="Times New Roman"/>
          <w:sz w:val="24"/>
          <w:szCs w:val="24"/>
          <w:lang w:eastAsia="zh-CN"/>
        </w:rPr>
        <w:t>对比</w:t>
      </w:r>
      <w:r>
        <w:rPr>
          <w:rFonts w:hint="eastAsia" w:ascii="Times New Roman" w:hAnsi="Times New Roman" w:eastAsia="宋体" w:cs="Times New Roman"/>
          <w:sz w:val="24"/>
          <w:szCs w:val="24"/>
        </w:rPr>
        <w:t>显示，学校毕业生近三年的薪资水平保持稳步上升，</w:t>
      </w:r>
      <w:r>
        <w:rPr>
          <w:rFonts w:hint="eastAsia" w:ascii="Times New Roman" w:hAnsi="Times New Roman" w:eastAsia="宋体" w:cs="Times New Roman"/>
          <w:sz w:val="24"/>
          <w:szCs w:val="24"/>
          <w:lang w:eastAsia="zh-CN"/>
        </w:rPr>
        <w:t>呈递增趋势。本科</w:t>
      </w:r>
      <w:r>
        <w:rPr>
          <w:rFonts w:hint="eastAsia" w:ascii="Times New Roman" w:hAnsi="Times New Roman" w:eastAsia="宋体" w:cs="Times New Roman"/>
          <w:sz w:val="24"/>
          <w:szCs w:val="24"/>
        </w:rPr>
        <w:t>毕业生</w:t>
      </w:r>
      <w:r>
        <w:rPr>
          <w:rFonts w:hint="eastAsia" w:ascii="Times New Roman" w:hAnsi="Times New Roman" w:eastAsia="宋体" w:cs="Times New Roman"/>
          <w:sz w:val="24"/>
          <w:szCs w:val="24"/>
          <w:lang w:eastAsia="zh-CN"/>
        </w:rPr>
        <w:t>税后月</w:t>
      </w:r>
      <w:r>
        <w:rPr>
          <w:rFonts w:hint="eastAsia" w:ascii="Times New Roman" w:hAnsi="Times New Roman" w:eastAsia="宋体" w:cs="Times New Roman"/>
          <w:sz w:val="24"/>
          <w:szCs w:val="24"/>
        </w:rPr>
        <w:t>平均工资从2015届的28</w:t>
      </w:r>
      <w:r>
        <w:rPr>
          <w:rFonts w:hint="eastAsia" w:ascii="Times New Roman" w:hAnsi="Times New Roman" w:eastAsia="宋体" w:cs="Times New Roman"/>
          <w:sz w:val="24"/>
          <w:szCs w:val="24"/>
          <w:lang w:val="en-US" w:eastAsia="zh-CN"/>
        </w:rPr>
        <w:t>79.96</w:t>
      </w:r>
      <w:r>
        <w:rPr>
          <w:rFonts w:hint="eastAsia" w:ascii="Times New Roman" w:hAnsi="Times New Roman" w:eastAsia="宋体" w:cs="Times New Roman"/>
          <w:sz w:val="24"/>
          <w:szCs w:val="24"/>
        </w:rPr>
        <w:t>元</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2016届毕业生的3904.08元，</w:t>
      </w:r>
      <w:r>
        <w:rPr>
          <w:rFonts w:hint="eastAsia" w:ascii="Times New Roman" w:hAnsi="Times New Roman" w:eastAsia="宋体" w:cs="Times New Roman"/>
          <w:sz w:val="24"/>
          <w:szCs w:val="24"/>
        </w:rPr>
        <w:t>增长到2017</w:t>
      </w:r>
      <w:r>
        <w:rPr>
          <w:rFonts w:hint="eastAsia" w:ascii="Times New Roman" w:hAnsi="Times New Roman" w:eastAsia="宋体" w:cs="Times New Roman"/>
          <w:sz w:val="24"/>
          <w:szCs w:val="24"/>
          <w:lang w:eastAsia="zh-CN"/>
        </w:rPr>
        <w:t>届</w:t>
      </w:r>
      <w:r>
        <w:rPr>
          <w:rFonts w:hint="eastAsia" w:ascii="Times New Roman" w:hAnsi="Times New Roman" w:eastAsia="宋体" w:cs="Times New Roman"/>
          <w:sz w:val="24"/>
          <w:szCs w:val="24"/>
        </w:rPr>
        <w:t>的</w:t>
      </w:r>
      <w:r>
        <w:rPr>
          <w:rFonts w:hint="eastAsia" w:ascii="Times New Roman" w:hAnsi="Times New Roman" w:eastAsia="宋体" w:cs="Times New Roman"/>
          <w:sz w:val="24"/>
          <w:szCs w:val="24"/>
          <w:lang w:val="en-US" w:eastAsia="zh-CN"/>
        </w:rPr>
        <w:t>4821.56</w:t>
      </w:r>
      <w:r>
        <w:rPr>
          <w:rFonts w:hint="eastAsia" w:ascii="Times New Roman" w:hAnsi="Times New Roman" w:eastAsia="宋体" w:cs="Times New Roman"/>
          <w:sz w:val="24"/>
          <w:szCs w:val="24"/>
        </w:rPr>
        <w:t>元</w:t>
      </w:r>
      <w:r>
        <w:rPr>
          <w:rFonts w:hint="eastAsia" w:ascii="Times New Roman" w:hAnsi="Times New Roman" w:eastAsia="宋体" w:cs="Times New Roman"/>
          <w:sz w:val="24"/>
          <w:szCs w:val="24"/>
          <w:lang w:eastAsia="zh-CN"/>
        </w:rPr>
        <w:t>，同比增长率分别为</w:t>
      </w:r>
      <w:r>
        <w:rPr>
          <w:rFonts w:hint="eastAsia" w:ascii="Times New Roman" w:hAnsi="Times New Roman" w:eastAsia="宋体" w:cs="Times New Roman"/>
          <w:sz w:val="24"/>
          <w:szCs w:val="24"/>
          <w:lang w:val="en-US" w:eastAsia="zh-CN"/>
        </w:rPr>
        <w:t>35.56%和23.50%；</w:t>
      </w:r>
      <w:r>
        <w:rPr>
          <w:rFonts w:hint="eastAsia" w:ascii="Times New Roman" w:hAnsi="Times New Roman" w:eastAsia="宋体" w:cs="Times New Roman"/>
          <w:sz w:val="24"/>
          <w:szCs w:val="24"/>
          <w:lang w:eastAsia="zh-CN"/>
        </w:rPr>
        <w:t>专科毕业生税后月平均工资从</w:t>
      </w:r>
      <w:r>
        <w:rPr>
          <w:rFonts w:hint="eastAsia" w:ascii="Times New Roman" w:hAnsi="Times New Roman" w:eastAsia="宋体" w:cs="Times New Roman"/>
          <w:sz w:val="24"/>
          <w:szCs w:val="24"/>
          <w:lang w:val="en-US" w:eastAsia="zh-CN"/>
        </w:rPr>
        <w:t>2015届的2712.63元、2016</w:t>
      </w:r>
      <w:r>
        <w:rPr>
          <w:rFonts w:hint="eastAsia" w:asciiTheme="minorEastAsia" w:hAnsiTheme="minorEastAsia" w:eastAsiaTheme="minorEastAsia" w:cstheme="minorEastAsia"/>
          <w:sz w:val="24"/>
          <w:szCs w:val="24"/>
          <w:lang w:val="en-US" w:eastAsia="zh-CN"/>
        </w:rPr>
        <w:t>届毕业生</w:t>
      </w:r>
      <w:r>
        <w:rPr>
          <w:rFonts w:hint="eastAsia" w:asciiTheme="minorEastAsia" w:hAnsiTheme="minorEastAsia" w:cstheme="minorEastAsia"/>
          <w:sz w:val="24"/>
          <w:szCs w:val="24"/>
          <w:lang w:val="en-US" w:eastAsia="zh-CN"/>
        </w:rPr>
        <w:t>的</w:t>
      </w:r>
      <w:r>
        <w:rPr>
          <w:rFonts w:hint="eastAsia" w:ascii="Times New Roman" w:hAnsi="Times New Roman" w:eastAsia="宋体" w:cs="Times New Roman"/>
          <w:sz w:val="24"/>
          <w:szCs w:val="24"/>
          <w:lang w:val="en-US" w:eastAsia="zh-CN"/>
        </w:rPr>
        <w:t>3529.64</w:t>
      </w:r>
      <w:r>
        <w:rPr>
          <w:rFonts w:hint="eastAsia" w:asciiTheme="minorEastAsia" w:hAnsiTheme="minorEastAsia" w:eastAsiaTheme="minorEastAsia" w:cstheme="minorEastAsia"/>
          <w:sz w:val="24"/>
          <w:szCs w:val="24"/>
          <w:lang w:eastAsia="zh-CN"/>
        </w:rPr>
        <w:t>元，</w:t>
      </w:r>
      <w:r>
        <w:rPr>
          <w:rFonts w:hint="eastAsia" w:ascii="Times New Roman" w:hAnsi="Times New Roman" w:eastAsia="宋体" w:cs="Times New Roman"/>
          <w:sz w:val="24"/>
          <w:szCs w:val="24"/>
        </w:rPr>
        <w:t>增长到2017</w:t>
      </w:r>
      <w:r>
        <w:rPr>
          <w:rFonts w:hint="eastAsia" w:ascii="Times New Roman" w:hAnsi="Times New Roman" w:eastAsia="宋体" w:cs="Times New Roman"/>
          <w:sz w:val="24"/>
          <w:szCs w:val="24"/>
          <w:lang w:eastAsia="zh-CN"/>
        </w:rPr>
        <w:t>届的</w:t>
      </w:r>
      <w:r>
        <w:rPr>
          <w:rFonts w:hint="eastAsia" w:ascii="Times New Roman" w:hAnsi="Times New Roman" w:eastAsia="宋体" w:cs="Times New Roman"/>
          <w:sz w:val="24"/>
          <w:szCs w:val="24"/>
        </w:rPr>
        <w:t>4057.35元</w:t>
      </w:r>
      <w:r>
        <w:rPr>
          <w:rFonts w:hint="eastAsia" w:ascii="Times New Roman" w:hAnsi="Times New Roman" w:eastAsia="宋体" w:cs="Times New Roman"/>
          <w:sz w:val="24"/>
          <w:szCs w:val="24"/>
          <w:lang w:eastAsia="zh-CN"/>
        </w:rPr>
        <w:t>，同比增长率分别为</w:t>
      </w:r>
      <w:r>
        <w:rPr>
          <w:rFonts w:hint="eastAsia" w:ascii="Times New Roman" w:hAnsi="Times New Roman" w:eastAsia="宋体" w:cs="Times New Roman"/>
          <w:sz w:val="24"/>
          <w:szCs w:val="24"/>
          <w:lang w:val="en-US" w:eastAsia="zh-CN"/>
        </w:rPr>
        <w:t>30.11%和14.95%</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rPr>
        <w:t xml:space="preserve"> </w:t>
      </w:r>
      <w:r>
        <w:rPr>
          <w:rFonts w:hint="eastAsia"/>
        </w:rPr>
        <w:t xml:space="preserve">   </w:t>
      </w:r>
      <w:r>
        <w:rPr>
          <w:rFonts w:ascii="Calibri" w:hAnsi="Calibri"/>
        </w:rPr>
        <w:drawing>
          <wp:inline distT="0" distB="0" distL="114300" distR="114300">
            <wp:extent cx="4765675" cy="3095625"/>
            <wp:effectExtent l="4445" t="4445" r="11430" b="508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Start w:id="488" w:name="_GoBack"/>
      <w:bookmarkEnd w:id="488"/>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图1-10 近三届毕业生</w:t>
      </w:r>
      <w:r>
        <w:rPr>
          <w:rFonts w:hint="eastAsia" w:ascii="Times New Roman" w:hAnsi="Times New Roman" w:eastAsia="宋体" w:cs="Times New Roman"/>
          <w:snapToGrid w:val="0"/>
          <w:sz w:val="24"/>
          <w:szCs w:val="24"/>
          <w:lang w:eastAsia="zh-CN"/>
        </w:rPr>
        <w:t>月平均</w:t>
      </w:r>
      <w:r>
        <w:rPr>
          <w:rFonts w:hint="eastAsia" w:ascii="Times New Roman" w:hAnsi="Times New Roman" w:eastAsia="宋体" w:cs="Times New Roman"/>
          <w:snapToGrid w:val="0"/>
          <w:sz w:val="24"/>
          <w:szCs w:val="24"/>
        </w:rPr>
        <w:t>薪资水平</w:t>
      </w:r>
    </w:p>
    <w:p>
      <w:pPr>
        <w:pStyle w:val="2"/>
        <w:pageBreakBefore/>
        <w:spacing w:before="460" w:after="460" w:line="312" w:lineRule="auto"/>
        <w:jc w:val="center"/>
        <w:rPr>
          <w:rFonts w:ascii="Times New Roman" w:hAnsi="Times New Roman" w:eastAsia="黑体" w:cs="Times New Roman"/>
          <w:bCs w:val="0"/>
          <w:szCs w:val="36"/>
        </w:rPr>
      </w:pPr>
      <w:bookmarkStart w:id="102" w:name="_Toc23953"/>
      <w:bookmarkStart w:id="103" w:name="_Toc501407804"/>
      <w:bookmarkStart w:id="104" w:name="_Toc462761916"/>
      <w:bookmarkStart w:id="105" w:name="_Toc470619959"/>
      <w:r>
        <w:rPr>
          <w:rFonts w:hint="eastAsia" w:ascii="Times New Roman" w:hAnsi="Times New Roman" w:eastAsia="黑体" w:cs="Times New Roman"/>
          <w:bCs w:val="0"/>
          <w:szCs w:val="36"/>
        </w:rPr>
        <w:t>第二章 就业创业工作举措及评价</w:t>
      </w:r>
      <w:bookmarkEnd w:id="102"/>
      <w:bookmarkEnd w:id="103"/>
      <w:bookmarkEnd w:id="104"/>
      <w:bookmarkEnd w:id="105"/>
    </w:p>
    <w:p>
      <w:pPr>
        <w:pStyle w:val="3"/>
        <w:autoSpaceDE w:val="0"/>
        <w:spacing w:line="312" w:lineRule="auto"/>
        <w:rPr>
          <w:rFonts w:ascii="Times New Roman" w:hAnsi="Times New Roman" w:eastAsia="黑体" w:cs="Times New Roman"/>
        </w:rPr>
      </w:pPr>
      <w:bookmarkStart w:id="106" w:name="_Toc425351797"/>
      <w:bookmarkStart w:id="107" w:name="_Toc405126293"/>
      <w:bookmarkStart w:id="108" w:name="_Toc462761917"/>
      <w:bookmarkStart w:id="109" w:name="_Toc25579"/>
      <w:bookmarkStart w:id="110" w:name="_Toc439171653"/>
      <w:bookmarkStart w:id="111" w:name="_Toc470619960"/>
      <w:bookmarkStart w:id="112" w:name="_Toc501407805"/>
      <w:r>
        <w:rPr>
          <w:rFonts w:hint="eastAsia" w:ascii="Times New Roman" w:hAnsi="Times New Roman" w:eastAsia="黑体" w:cs="Times New Roman"/>
        </w:rPr>
        <w:t>一、就</w:t>
      </w:r>
      <w:bookmarkEnd w:id="106"/>
      <w:bookmarkEnd w:id="107"/>
      <w:r>
        <w:rPr>
          <w:rFonts w:hint="eastAsia" w:ascii="Times New Roman" w:hAnsi="Times New Roman" w:eastAsia="黑体" w:cs="Times New Roman"/>
        </w:rPr>
        <w:t>业工作举措</w:t>
      </w:r>
      <w:bookmarkEnd w:id="108"/>
      <w:bookmarkEnd w:id="109"/>
      <w:bookmarkEnd w:id="110"/>
      <w:bookmarkEnd w:id="111"/>
      <w:bookmarkEnd w:id="112"/>
    </w:p>
    <w:p>
      <w:pPr>
        <w:pStyle w:val="4"/>
        <w:autoSpaceDE w:val="0"/>
        <w:spacing w:beforeLines="0" w:afterLines="0" w:line="312" w:lineRule="auto"/>
        <w:ind w:firstLine="0" w:firstLineChars="0"/>
        <w:jc w:val="both"/>
        <w:rPr>
          <w:rFonts w:eastAsia="黑体"/>
          <w:bCs w:val="0"/>
          <w:snapToGrid/>
          <w:sz w:val="28"/>
          <w:szCs w:val="28"/>
        </w:rPr>
      </w:pPr>
      <w:bookmarkStart w:id="113" w:name="_Toc13230"/>
      <w:bookmarkStart w:id="114" w:name="_Toc470619961"/>
      <w:bookmarkStart w:id="115" w:name="_Toc501407806"/>
      <w:r>
        <w:rPr>
          <w:rFonts w:hint="eastAsia" w:eastAsia="黑体"/>
          <w:bCs w:val="0"/>
          <w:snapToGrid/>
          <w:sz w:val="28"/>
          <w:szCs w:val="28"/>
        </w:rPr>
        <w:t>（一）</w:t>
      </w:r>
      <w:bookmarkEnd w:id="113"/>
      <w:bookmarkEnd w:id="114"/>
      <w:r>
        <w:rPr>
          <w:rFonts w:hint="eastAsia" w:eastAsia="黑体"/>
          <w:bCs w:val="0"/>
          <w:snapToGrid/>
          <w:sz w:val="28"/>
          <w:szCs w:val="28"/>
        </w:rPr>
        <w:t>注重顶层设计，全校联动抓就业</w:t>
      </w:r>
      <w:bookmarkEnd w:id="115"/>
    </w:p>
    <w:p>
      <w:pPr>
        <w:pStyle w:val="33"/>
        <w:spacing w:before="180" w:after="180" w:afterLines="0" w:line="360" w:lineRule="auto"/>
        <w:ind w:firstLine="482" w:firstLineChars="200"/>
        <w:outlineLvl w:val="2"/>
        <w:rPr>
          <w:rFonts w:ascii="Times New Roman" w:hAnsi="Times New Roman" w:eastAsia="宋体"/>
          <w:sz w:val="24"/>
          <w:szCs w:val="24"/>
        </w:rPr>
      </w:pPr>
      <w:bookmarkStart w:id="116" w:name="_Toc501407807"/>
      <w:r>
        <w:rPr>
          <w:rFonts w:hint="eastAsia" w:ascii="Times New Roman" w:hAnsi="Times New Roman" w:eastAsia="宋体"/>
          <w:sz w:val="24"/>
          <w:szCs w:val="24"/>
        </w:rPr>
        <w:t>1．一把手工程落实到位</w:t>
      </w:r>
      <w:bookmarkEnd w:id="116"/>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高度重视就业创业工作的顶层设计，确立了就业创业“一把手工程”和“全员参与”的指导思想，树立培养应用型人才的就业创业工作理念，深化“以服务为宗旨、以基地为依托、以市场为重点、以质量为目标”的就业工作思路，融“职业指导、创业孵化、就业服务”等工作为一体，采取积极有效的工作举措，稳步提升学生的就业率与就业创业质量。</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把手工程”层层落实到位。学校层面成立了以李锦云校长为组长的就业创业工作领导小组，常设机构为“就业创业工作办公室”，设在就业指导中心。各二级学院全面落实校院两级的就业创业工作机制，成立以院长为组长的就业创业工作领导小组，常设机构为“就业创业办公室”，设专人任办公室主任。</w:t>
      </w:r>
    </w:p>
    <w:p>
      <w:pPr>
        <w:pStyle w:val="33"/>
        <w:spacing w:before="180" w:after="180" w:afterLines="0" w:line="360" w:lineRule="auto"/>
        <w:ind w:firstLine="482" w:firstLineChars="200"/>
        <w:outlineLvl w:val="2"/>
        <w:rPr>
          <w:rFonts w:ascii="Times New Roman" w:hAnsi="Times New Roman" w:eastAsia="宋体"/>
          <w:sz w:val="24"/>
          <w:szCs w:val="24"/>
        </w:rPr>
      </w:pPr>
      <w:bookmarkStart w:id="117" w:name="_Toc501407808"/>
      <w:r>
        <w:rPr>
          <w:rFonts w:hint="eastAsia" w:ascii="Times New Roman" w:hAnsi="Times New Roman" w:eastAsia="宋体"/>
          <w:sz w:val="24"/>
          <w:szCs w:val="24"/>
        </w:rPr>
        <w:t>2．建立就业创业协调联动机制</w:t>
      </w:r>
      <w:bookmarkEnd w:id="117"/>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确定了就业创业工作为全体教职员工共同责任的指导思想，建立了多部门分工协作的就业创业协调联动机制，颁布了河北传媒学院《关于建立就业创业工作协调联动机制的意见》（院就[2016]1号）和《关于成立大学生创业孵化管理委员会的决定》（院就[2015]1号）等文件，在“就业创业工作办公室”的牵头统筹和组织协调下，形成了教务处、学生处、校团委、就业指导中心、产学研合作处、组织人事处、招生办、宣传部8个部门和各二级学院上下联动、齐抓共管的工作局面。</w:t>
      </w:r>
    </w:p>
    <w:p>
      <w:pPr>
        <w:pStyle w:val="33"/>
        <w:spacing w:before="180" w:after="180" w:afterLines="0" w:line="360" w:lineRule="auto"/>
        <w:ind w:firstLine="482" w:firstLineChars="200"/>
        <w:outlineLvl w:val="2"/>
        <w:rPr>
          <w:rFonts w:ascii="Times New Roman" w:hAnsi="Times New Roman" w:eastAsia="宋体"/>
          <w:sz w:val="24"/>
          <w:szCs w:val="24"/>
        </w:rPr>
      </w:pPr>
      <w:bookmarkStart w:id="118" w:name="_Toc501407809"/>
      <w:r>
        <w:rPr>
          <w:rFonts w:hint="eastAsia" w:ascii="Times New Roman" w:hAnsi="Times New Roman" w:eastAsia="宋体"/>
          <w:sz w:val="24"/>
          <w:szCs w:val="24"/>
        </w:rPr>
        <w:t>3．完善就业制度建设</w:t>
      </w:r>
      <w:bookmarkEnd w:id="118"/>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为了形成良好的就业创业运行机制，学校完善了就业规章制度建设和创业规章制度建设。制定了《就业指导中心职责》、《毕业生跟踪调查工作实施办法》、《毕业生就业协议书管理办法》、《职业指导教研室工作职责》、《实习实训及就业基地建设规划》等14项就业制度并汇编成册。</w:t>
      </w:r>
    </w:p>
    <w:p>
      <w:pPr>
        <w:pStyle w:val="33"/>
        <w:spacing w:before="180" w:after="180" w:afterLines="0" w:line="360" w:lineRule="auto"/>
        <w:ind w:firstLine="482" w:firstLineChars="200"/>
        <w:outlineLvl w:val="2"/>
        <w:rPr>
          <w:rFonts w:ascii="Times New Roman" w:hAnsi="Times New Roman" w:eastAsia="宋体"/>
          <w:sz w:val="24"/>
          <w:szCs w:val="24"/>
        </w:rPr>
      </w:pPr>
      <w:bookmarkStart w:id="119" w:name="_Toc501407810"/>
      <w:r>
        <w:rPr>
          <w:rFonts w:hint="eastAsia" w:ascii="Times New Roman" w:hAnsi="Times New Roman" w:eastAsia="宋体"/>
          <w:sz w:val="24"/>
          <w:szCs w:val="24"/>
        </w:rPr>
        <w:t>4．制定激励政策，建立考核机制</w:t>
      </w:r>
      <w:bookmarkEnd w:id="119"/>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为激励全校教职员工参与就业创业工作的热情和积极性，学校制定了《毕业生就业工作奖励办法（试行）》、《毕业生就业工作考评办法（试行）》和评分细则，并随着工作的发展不断修订评分细则，逐步增加创业工作的分值比例。每年学校评出就业工作先进学院和先进个人两个奖项，约有30%的二级学院和40%的就业工作人员获评此奖项。</w:t>
      </w:r>
    </w:p>
    <w:p>
      <w:pPr>
        <w:pStyle w:val="4"/>
        <w:autoSpaceDE w:val="0"/>
        <w:spacing w:beforeLines="0" w:afterLines="0" w:line="312" w:lineRule="auto"/>
        <w:ind w:firstLine="0" w:firstLineChars="0"/>
        <w:jc w:val="both"/>
        <w:rPr>
          <w:rFonts w:eastAsia="黑体"/>
          <w:bCs w:val="0"/>
          <w:snapToGrid/>
          <w:sz w:val="28"/>
          <w:szCs w:val="28"/>
        </w:rPr>
      </w:pPr>
      <w:bookmarkStart w:id="120" w:name="_Toc501407811"/>
      <w:r>
        <w:rPr>
          <w:rFonts w:hint="eastAsia" w:eastAsia="黑体"/>
          <w:bCs w:val="0"/>
          <w:snapToGrid/>
          <w:sz w:val="28"/>
          <w:szCs w:val="28"/>
        </w:rPr>
        <w:t>（二）强化服务管理，“七项工作”促就业</w:t>
      </w:r>
      <w:bookmarkEnd w:id="120"/>
    </w:p>
    <w:p>
      <w:pPr>
        <w:pStyle w:val="33"/>
        <w:spacing w:before="180" w:after="180" w:afterLines="0" w:line="360" w:lineRule="auto"/>
        <w:ind w:firstLine="482" w:firstLineChars="200"/>
        <w:outlineLvl w:val="2"/>
        <w:rPr>
          <w:rFonts w:ascii="Times New Roman" w:hAnsi="Times New Roman" w:eastAsia="宋体"/>
          <w:sz w:val="24"/>
          <w:szCs w:val="24"/>
        </w:rPr>
      </w:pPr>
      <w:bookmarkStart w:id="121" w:name="_Toc501407812"/>
      <w:r>
        <w:rPr>
          <w:rFonts w:hint="eastAsia" w:ascii="Times New Roman" w:hAnsi="Times New Roman" w:eastAsia="宋体"/>
          <w:sz w:val="24"/>
          <w:szCs w:val="24"/>
        </w:rPr>
        <w:t>1．做好校园宣讲，政策深入人心</w:t>
      </w:r>
      <w:bookmarkEnd w:id="121"/>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在校园内积极营造浓厚的就业创业氛围。在学校就业信息服务网上开辟校友风采录专栏，对就业创业学生进行大力宣传；开通河北传媒学院就业指导中心公众号（hcjyzdzx），重点推出招聘信息、创业咨询，对国家就业创业政策、创业孵化园等进行信息推送，打造良好的就业创业气氛；团委“青春河传”微信公众号，每年毕业季时重点宣传西部志愿者、三支一扶、特岗教师等基层就业项目；学生处武装部征兵办公室每年联合新华区武装部、栾城区武装部深入校园宣传应征入伍，鼓励大学生穿上戎装、保家卫国。每年定期邀请石家庄市就业服务中心的领导和专家到校举办“创业服务高校行”、“就业创业讲座”等活动，宣讲石家庄市最新的促进高校毕业生就业创业的政策文件精神。</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为了更好地宣传报道学生的就业创业事迹，激发学生的就业意识和创业精神，学校精选了就业创业典型学生，编印系列宣传册《满天星》、《河传创客》和《青春在基层闪光》，印发给社会各界和本校学生。</w:t>
      </w:r>
    </w:p>
    <w:p>
      <w:pPr>
        <w:pStyle w:val="33"/>
        <w:spacing w:before="180" w:after="180" w:afterLines="0" w:line="360" w:lineRule="auto"/>
        <w:ind w:firstLine="482" w:firstLineChars="200"/>
        <w:outlineLvl w:val="2"/>
        <w:rPr>
          <w:rFonts w:ascii="Times New Roman" w:hAnsi="Times New Roman" w:eastAsia="宋体"/>
          <w:sz w:val="24"/>
          <w:szCs w:val="24"/>
        </w:rPr>
      </w:pPr>
      <w:bookmarkStart w:id="122" w:name="_Toc501407813"/>
      <w:r>
        <w:rPr>
          <w:rFonts w:hint="eastAsia" w:ascii="Times New Roman" w:hAnsi="Times New Roman" w:eastAsia="宋体"/>
          <w:sz w:val="24"/>
          <w:szCs w:val="24"/>
        </w:rPr>
        <w:t>2．鼓励基层就业，引导服务地方</w:t>
      </w:r>
      <w:bookmarkEnd w:id="122"/>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将鼓励基层就业的重点放在“志愿服务西部计划”和“大学生应征入伍”两个关键工作上。校团委根据全国项目办文件《大学生志愿服务西部计划实施方案》，制定了学校的工作方案，协调就业指导中心和学生处做好志愿者学生的档案保管、就业人事关系等事宜，并设置了每年最高5000元的奖金，专门用于鼓励学生到西部艰苦地区就业。</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成立了大学生征兵工作领导小组，学生处武装部设征兵办公室，认真执行河北省教育厅和人民武装部关于征兵工作的文件要求，下发《关于做好2017年直招士官和义务兵专项征集工作的通知》和《关于做好2017年兵役登记工作的通知》等文件；通过校内宣传发动、组织学生军营参观、做好学费补偿代偿服务等方式，鼓励学生到部队就业，保家卫国。</w:t>
      </w:r>
    </w:p>
    <w:p>
      <w:pPr>
        <w:pStyle w:val="33"/>
        <w:spacing w:before="180" w:after="180" w:afterLines="0" w:line="360" w:lineRule="auto"/>
        <w:ind w:firstLine="482" w:firstLineChars="200"/>
        <w:outlineLvl w:val="2"/>
        <w:rPr>
          <w:rFonts w:ascii="Times New Roman" w:hAnsi="Times New Roman" w:eastAsia="宋体"/>
          <w:sz w:val="24"/>
          <w:szCs w:val="24"/>
        </w:rPr>
      </w:pPr>
      <w:bookmarkStart w:id="123" w:name="_Toc501407814"/>
      <w:r>
        <w:rPr>
          <w:rFonts w:hint="eastAsia" w:ascii="Times New Roman" w:hAnsi="Times New Roman" w:eastAsia="宋体"/>
          <w:sz w:val="24"/>
          <w:szCs w:val="24"/>
        </w:rPr>
        <w:t>3．推广智能化就业，拓宽信息推送渠道</w:t>
      </w:r>
      <w:bookmarkEnd w:id="123"/>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大力推广互联网+智能化就业的方式，拓宽就业信息的推送渠道。目前在毕业生中使用的手机APP和微信公众号有新锦成公司开发的“职手可得”、省人社厅和河北联通公司联合开发的“114求职通”，与北京华驰联创科技有限公司开发的“就业宝”推广项目正在洽谈中。</w:t>
      </w:r>
    </w:p>
    <w:p>
      <w:pPr>
        <w:pStyle w:val="33"/>
        <w:spacing w:before="180" w:after="180" w:afterLines="0" w:line="360" w:lineRule="auto"/>
        <w:ind w:firstLine="482" w:firstLineChars="200"/>
        <w:outlineLvl w:val="2"/>
        <w:rPr>
          <w:rFonts w:ascii="Times New Roman" w:hAnsi="Times New Roman" w:eastAsia="宋体"/>
          <w:sz w:val="24"/>
          <w:szCs w:val="24"/>
        </w:rPr>
      </w:pPr>
      <w:bookmarkStart w:id="124" w:name="_Toc501407815"/>
      <w:r>
        <w:rPr>
          <w:rFonts w:hint="eastAsia" w:ascii="Times New Roman" w:hAnsi="Times New Roman" w:eastAsia="宋体"/>
          <w:sz w:val="24"/>
          <w:szCs w:val="24"/>
        </w:rPr>
        <w:t>4．建设就业基地，加强校企合作</w:t>
      </w:r>
      <w:bookmarkEnd w:id="124"/>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着力加强重点就业单位建设，注重校企之间的就业合作，建立长期稳定的用人关系，学校共建设了106家实习就业基地。实习实训基地是学校毕业生重要的就业渠道，从基地建设的总体水平来看，大部分院系能充分发挥专业优势，以项目实践教学为主线，以专业实训建设为基础，以自主发展的校内实训基地建设为重点，坚持校企合作，进一步提高学生就业质量。所建基地设备条件先进、管理科学规范，集教学、培训、生产、科研等多项功能为一体，特色鲜明。一方面彰显艺术类学校的专业特色,提高教育教学质量，同时实现了培养实践性人才的必备条件。</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近年来，学校建设了一批重点实习就业基地，如北京星光拓诚投资有限公司（北京星光影视园）、北京京都世纪文化发展有限公司、河北出版传媒集团、河北电视台、河北天明传媒有限公司、西柏坡纪念堂等。著名导演尤小刚创办的北京京都世纪文化发展有限公司是学重要的实习就业基地。2016年以来，学校表演、人物形象设计、播音与主持艺术、戏剧影视美术、编导、摄影摄像、影视后期制作等多个专业学生，陆续参与到公司拥有自主知识产权的“IS ME PLAY”数字化影视内容项目、年度大戏《反恐特战队2》《新孝庄秘史》以及叙事性纪录片《匈奴秘史》《隋唐秘史》等具体的产业项目中，通过参与这些真实项目的运作，既满足了企业的用人需求，学生也得到了锻炼、提高了真实本领。学生实习结束，表现优秀的学生继续留用，签订正式劳动就业合同，实现了实习—就业一体化的合作模式。</w:t>
      </w:r>
    </w:p>
    <w:p>
      <w:pPr>
        <w:pStyle w:val="33"/>
        <w:spacing w:before="180" w:after="180" w:afterLines="0" w:line="360" w:lineRule="auto"/>
        <w:ind w:firstLine="482" w:firstLineChars="200"/>
        <w:outlineLvl w:val="2"/>
        <w:rPr>
          <w:rFonts w:ascii="Times New Roman" w:hAnsi="Times New Roman" w:eastAsia="宋体"/>
          <w:sz w:val="24"/>
          <w:szCs w:val="24"/>
        </w:rPr>
      </w:pPr>
      <w:bookmarkStart w:id="125" w:name="_Toc501407816"/>
      <w:r>
        <w:rPr>
          <w:rFonts w:hint="eastAsia" w:ascii="Times New Roman" w:hAnsi="Times New Roman" w:eastAsia="宋体"/>
          <w:sz w:val="24"/>
          <w:szCs w:val="24"/>
        </w:rPr>
        <w:t>5．完善课程体系，深化职业指导</w:t>
      </w:r>
      <w:bookmarkEnd w:id="125"/>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就业指导中心开设了《大学生职业生涯规划》和《大学生就业指导》与《大学生创业指导》等通识类必修课程，旨在提高学生的职业规划能力和激发学生的创新创业精神。</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在师资力量建设上，打造了一支13人组成的专兼职就业创业教师队伍，并不断加强培训，提高教学能力。2015、2016年、2017年连续三年选派34人次的校内导师和教师参加教育部、中国民办教育协会、人社部、教育厅组织的“第七期创新创业教育师资培训班”、“SYB创业师资培训班”“河北省创业基础教育师资培训班”、“高校创新创业师资培训班”等，并取得《培训结业证书》、《SYB创业师资班合格证》等资格证书。通过培训，教师掌握了授课方法和技巧，大大提高了授课能力。</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为了规范教学，全体教师集体备课、统一教案、统一教学进度、公开示范课等活动，收到了很好的效果。同时教研室成立了教改课题小组，围绕大学生职业生涯规划课程进行多次研讨，结合以往的经验，在教学模式及授课方式上都进行了大量的创新，如引进传统文化的学习来树立职业理想；聘请行业精英和学生共同探索工作世界；同时试点班级使用辅助教学软件蓝墨云班课APP，线上线下相结合让课堂教学形式更丰富。</w:t>
      </w:r>
    </w:p>
    <w:p>
      <w:pPr>
        <w:pStyle w:val="33"/>
        <w:spacing w:before="180" w:after="180" w:afterLines="0" w:line="360" w:lineRule="auto"/>
        <w:ind w:firstLine="482" w:firstLineChars="200"/>
        <w:outlineLvl w:val="2"/>
        <w:rPr>
          <w:rFonts w:ascii="Times New Roman" w:hAnsi="Times New Roman" w:eastAsia="宋体"/>
          <w:sz w:val="24"/>
          <w:szCs w:val="24"/>
        </w:rPr>
      </w:pPr>
      <w:bookmarkStart w:id="126" w:name="_Toc501407817"/>
      <w:r>
        <w:rPr>
          <w:rFonts w:hint="eastAsia" w:ascii="Times New Roman" w:hAnsi="Times New Roman" w:eastAsia="宋体"/>
          <w:sz w:val="24"/>
          <w:szCs w:val="24"/>
        </w:rPr>
        <w:t>6．实施援助帮扶，强化后续服务</w:t>
      </w:r>
      <w:bookmarkEnd w:id="126"/>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为了对学校的转型发展提供有效的建议，中心制定了《毕业生就业跟踪调查工作实施办法》，2014、2015、2016连续三年委托第三方数据调查机构麦可思和新锦成公司对毕业生展开跟踪调查，出具《河北传媒学院社会需求与人才培养质量跟踪评价报告》等，针对社会人才需求现状、毕业生就业状况、校友评价、创新创业教育等展开调查，尤其注重对母校教育教学的评价以及专业预警及调控措施方面的建议，专门就毕业生对专业课的评价、对教学实践环节的满意度、对任课教师的满意度、用人单位对学校人才培养的反馈等维度开展调查。</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根据河北省人力资源和社会保障厅、河北省教育厅、河北省财政厅《关于做好城乡低保家庭高校毕业生求职补贴发放工作的通知》的相关文件精神，组织符合条件的42名城乡低保家庭毕业生申报求职补贴。为进一步提高对就业困难毕业生的帮扶力度，做好当前严峻就业形势下的大学生就业工作，根据国家教育部、河北省教育厅有关高校毕业生就业的相关文件精神，结合学校实际情况，制定了对就业经济困难、就业能力困难、就业心理困难、就业观念困难等就业困难毕业生进行就业帮扶的办法，建立就业帮扶档案和帮扶台账，根据学生实际情况对学生进行就业帮扶指导。同时，经过院系初审，学校审核，共为36名毕业生发放就业困难补助金。</w:t>
      </w:r>
    </w:p>
    <w:p>
      <w:pPr>
        <w:pStyle w:val="33"/>
        <w:spacing w:before="180" w:after="180" w:afterLines="0" w:line="360" w:lineRule="auto"/>
        <w:ind w:firstLine="482" w:firstLineChars="200"/>
        <w:outlineLvl w:val="2"/>
        <w:rPr>
          <w:rFonts w:ascii="Times New Roman" w:hAnsi="Times New Roman" w:eastAsia="宋体"/>
          <w:sz w:val="24"/>
          <w:szCs w:val="24"/>
        </w:rPr>
      </w:pPr>
      <w:bookmarkStart w:id="127" w:name="_Toc501407818"/>
      <w:r>
        <w:rPr>
          <w:rFonts w:hint="eastAsia" w:ascii="Times New Roman" w:hAnsi="Times New Roman" w:eastAsia="宋体"/>
          <w:sz w:val="24"/>
          <w:szCs w:val="24"/>
        </w:rPr>
        <w:t>7．开展科学研究，取得研究成果</w:t>
      </w:r>
      <w:bookmarkEnd w:id="127"/>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鼓励开展就业创业教学科研，自2015年起自编《大学生就业与创业指导》等教材4部；完成省级研究课题《传媒艺术类高校创新创业课程体系的构建》1项；撰写并发表创新创业相关论文多篇，2016年11月，学校提交的作品《大学生创新创业孵化体系的构建》在全国民办高校学生工作联席会获一等奖；2017年，申请了河北省教育厅就业创业专项以及创新创业专项等两项课题。</w:t>
      </w:r>
    </w:p>
    <w:p>
      <w:pPr>
        <w:pStyle w:val="3"/>
        <w:autoSpaceDE w:val="0"/>
        <w:spacing w:line="312" w:lineRule="auto"/>
        <w:rPr>
          <w:rFonts w:ascii="Times New Roman" w:hAnsi="Times New Roman" w:eastAsia="黑体" w:cs="Times New Roman"/>
        </w:rPr>
      </w:pPr>
      <w:bookmarkStart w:id="128" w:name="_Toc501407819"/>
      <w:r>
        <w:rPr>
          <w:rFonts w:hint="eastAsia" w:ascii="Times New Roman" w:hAnsi="Times New Roman" w:eastAsia="黑体" w:cs="Times New Roman"/>
        </w:rPr>
        <w:t>二、创业工作举措</w:t>
      </w:r>
      <w:bookmarkEnd w:id="128"/>
    </w:p>
    <w:p>
      <w:pPr>
        <w:pStyle w:val="4"/>
        <w:autoSpaceDE w:val="0"/>
        <w:spacing w:beforeLines="0" w:afterLines="0" w:line="312" w:lineRule="auto"/>
        <w:ind w:firstLine="0" w:firstLineChars="0"/>
        <w:jc w:val="both"/>
        <w:rPr>
          <w:rFonts w:eastAsia="黑体"/>
          <w:bCs w:val="0"/>
          <w:snapToGrid/>
          <w:sz w:val="28"/>
          <w:szCs w:val="28"/>
        </w:rPr>
      </w:pPr>
      <w:bookmarkStart w:id="129" w:name="_Toc501407820"/>
      <w:r>
        <w:rPr>
          <w:rFonts w:hint="eastAsia" w:eastAsia="黑体"/>
          <w:bCs w:val="0"/>
          <w:snapToGrid/>
          <w:sz w:val="28"/>
          <w:szCs w:val="28"/>
        </w:rPr>
        <w:t>（一）组织领导</w:t>
      </w:r>
      <w:bookmarkEnd w:id="129"/>
    </w:p>
    <w:p>
      <w:pPr>
        <w:pStyle w:val="33"/>
        <w:spacing w:before="180" w:after="180" w:afterLines="0" w:line="360" w:lineRule="auto"/>
        <w:ind w:firstLine="482" w:firstLineChars="200"/>
        <w:outlineLvl w:val="2"/>
        <w:rPr>
          <w:rFonts w:ascii="Times New Roman" w:hAnsi="Times New Roman" w:eastAsia="宋体"/>
          <w:sz w:val="24"/>
          <w:szCs w:val="24"/>
        </w:rPr>
      </w:pPr>
      <w:bookmarkStart w:id="130" w:name="_Toc501407821"/>
      <w:r>
        <w:rPr>
          <w:rFonts w:hint="eastAsia" w:ascii="Times New Roman" w:hAnsi="Times New Roman" w:eastAsia="宋体"/>
          <w:sz w:val="24"/>
          <w:szCs w:val="24"/>
        </w:rPr>
        <w:t>1．领导高度重视，建立健全工作机制</w:t>
      </w:r>
      <w:bookmarkEnd w:id="130"/>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学校领导高度重视创新创业工作，把大学生创业孵化园做为做好创新创业工作的重要平台来建设，并提出了要把园区打造成“对接产业项目、孵化创业团队、提供公共服务”的综合性创业孵化平台。</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教育是创新创业的源动力，好的创业项目无不是产生于专业教学实践中。为了实现“产生好的项目，服务好的项目”的工作宗旨，在成立了大学生创业孵化管理委员会和专门的创业孵化管理办公室（院就字【2015】1号文件）基础之上，学校成立了校院两级大学生创新创业教育指导委员会，建立起创新创业教育指导体系。由教务部门、就业指导中心、学生处、科研处、财务处、团委等等各职能处室以及各学院共同参与创业项目孵化和园区的建设和管理中。</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大学生创新创业教育指导委员会通过整合各种资源、建章立制，统筹安排、合理兼顾，将“专业教学”和“创业孵化”两条主线有机结合在一起，由专业教师和选修课教师在课堂对学生传授创新方法和创业意识，而学生萌发创业想法后，入选创业孵化园区给予精心培育和孵化，这样才能形成源源不断的创新驱动力，推动学校创新创业工作的可持续发展。</w:t>
      </w:r>
    </w:p>
    <w:p>
      <w:pPr>
        <w:pStyle w:val="33"/>
        <w:spacing w:before="180" w:after="180" w:afterLines="0" w:line="360" w:lineRule="auto"/>
        <w:ind w:firstLine="482" w:firstLineChars="200"/>
        <w:outlineLvl w:val="2"/>
        <w:rPr>
          <w:rFonts w:ascii="Times New Roman" w:hAnsi="Times New Roman" w:eastAsia="宋体"/>
          <w:sz w:val="24"/>
          <w:szCs w:val="24"/>
        </w:rPr>
      </w:pPr>
      <w:bookmarkStart w:id="131" w:name="_Toc501407822"/>
      <w:r>
        <w:rPr>
          <w:rFonts w:hint="eastAsia" w:ascii="Times New Roman" w:hAnsi="Times New Roman" w:eastAsia="宋体"/>
          <w:sz w:val="24"/>
          <w:szCs w:val="24"/>
        </w:rPr>
        <w:t>2．创新运行机制，实行公司化运营</w:t>
      </w:r>
      <w:bookmarkEnd w:id="131"/>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为了更好地为创业学生服务，学校创新了管理体制，实施公司化运营，于2016年11月成立了河北精英创客企业管理服务有限公司。公司的主要职责是使各创业团队能够更好地对接和参与社会的实体项目，便于学生进行工商注册，在财务管理、协议签署等方面为学生服务以及促进学生创新成果的有效转化。公司的创办为园区实现全产业覆盖、有效的衔接、高效的汇聚、成果的可交易创造了条件。公司搭建了校内学生创业实践与校外行业企业的沟通桥梁，将校外的文化产业项目引进到园区，在创业导师的指导下，由园区的创业项目团队合作制作和生产。在孵化项目的同时，产生了一定的经济效益和社会效益。目前，学校正有条不紊按照上述校企合作模式，推进大学生创业孵化园区的建设，并且在许多方面已经呈现出良好发展前景。</w:t>
      </w:r>
    </w:p>
    <w:p>
      <w:pPr>
        <w:pStyle w:val="4"/>
        <w:autoSpaceDE w:val="0"/>
        <w:spacing w:beforeLines="0" w:afterLines="0" w:line="312" w:lineRule="auto"/>
        <w:ind w:firstLine="0" w:firstLineChars="0"/>
        <w:jc w:val="both"/>
        <w:rPr>
          <w:rFonts w:eastAsia="黑体"/>
          <w:bCs w:val="0"/>
          <w:snapToGrid/>
          <w:sz w:val="28"/>
          <w:szCs w:val="28"/>
        </w:rPr>
      </w:pPr>
      <w:bookmarkStart w:id="132" w:name="_Toc501407823"/>
      <w:r>
        <w:rPr>
          <w:rFonts w:hint="eastAsia" w:eastAsia="黑体"/>
          <w:bCs w:val="0"/>
          <w:snapToGrid/>
          <w:sz w:val="28"/>
          <w:szCs w:val="28"/>
        </w:rPr>
        <w:t>（二）条件保障</w:t>
      </w:r>
      <w:bookmarkEnd w:id="132"/>
    </w:p>
    <w:p>
      <w:pPr>
        <w:pStyle w:val="33"/>
        <w:spacing w:before="180" w:after="180" w:afterLines="0" w:line="360" w:lineRule="auto"/>
        <w:ind w:firstLine="482" w:firstLineChars="200"/>
        <w:outlineLvl w:val="2"/>
        <w:rPr>
          <w:rFonts w:ascii="Times New Roman" w:hAnsi="Times New Roman" w:eastAsia="宋体"/>
          <w:sz w:val="24"/>
          <w:szCs w:val="24"/>
        </w:rPr>
      </w:pPr>
      <w:bookmarkStart w:id="133" w:name="_Toc501407824"/>
      <w:r>
        <w:rPr>
          <w:rFonts w:hint="eastAsia" w:ascii="Times New Roman" w:hAnsi="Times New Roman" w:eastAsia="宋体"/>
          <w:sz w:val="24"/>
          <w:szCs w:val="24"/>
        </w:rPr>
        <w:t>1．建设多功能创业孵化平台</w:t>
      </w:r>
      <w:bookmarkEnd w:id="133"/>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充分发挥大学生创业孵化园区对外的窗口作用和对内的服务功能，将大学生创业孵化基地建设为集“创业咨询服务”、“创业融资服务”、“创业实战训练”三个功能于一体的综合性孵化平台。2015年9月-至今，大学生创业孵化园区共扶持约80个学生创业团队，许多团队取得了骄人的业绩，带动了校内大批学生的就业，并在各自的领域内逐渐有了一定的影响力。2016年10月，学校获全国民办高等教育协会颁发的“创新创业孵化成果奖”。</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学校不断扩大园区的功能，在场地和配套设施建设上持续投入。2017年10月，学校主题景观建成，区域内建成了“创客咖啡吧”，使用面积约500平方米，专用于创业学生路演、洽谈业务及对接风险投资。</w:t>
      </w:r>
    </w:p>
    <w:p>
      <w:pPr>
        <w:pStyle w:val="33"/>
        <w:spacing w:before="180" w:after="180" w:afterLines="0" w:line="360" w:lineRule="auto"/>
        <w:ind w:firstLine="482" w:firstLineChars="200"/>
        <w:outlineLvl w:val="2"/>
        <w:rPr>
          <w:rFonts w:ascii="Times New Roman" w:hAnsi="Times New Roman" w:eastAsia="宋体"/>
          <w:sz w:val="24"/>
          <w:szCs w:val="24"/>
        </w:rPr>
      </w:pPr>
      <w:bookmarkStart w:id="134" w:name="_Toc501407825"/>
      <w:r>
        <w:rPr>
          <w:rFonts w:hint="eastAsia" w:ascii="Times New Roman" w:hAnsi="Times New Roman" w:eastAsia="宋体"/>
          <w:sz w:val="24"/>
          <w:szCs w:val="24"/>
        </w:rPr>
        <w:t>2．加大资金投入，加强资金保障</w:t>
      </w:r>
      <w:bookmarkEnd w:id="134"/>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在建设中加大了资金投入，加强资金保障，除了用好50万元的创业天使基金外，还广泛开展校企合作、校地合作，利用各种社会资源，多渠道、全方位地为学生创业筹集资金，吸引政府机构、金融组织、社会团体、行业协会和企事业单位等为园区建设和学生创业提供政策和资金支持。</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2016年7月，学校联系石家庄汇丰源投资集团有限公司，以“项目跟投”的形式，为河北比如文化传播有限公司最新拍摄的网络大电影注资100万元。</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2016年11月，大学生创业孵化园（精英众创空间）通过了石家庄市科技局开展的“石家庄市第二批众创空间”的评审，获得了“石家庄市众创空间”称号，并同时获得了石家庄市财政40万专项建设资金的支持。</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2017年7月，学校把握住石家庄市科技局开展“大学生创新创业专项资金扶持计划”的有力契机，推荐入驻学生创业项目“一江水文化传播”和“高校就业联盟”参加评审，最终两个项目均获的市科技局专项资金扶持计划的支持，分别获得5万元和9万元的资金支持。</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2017年3月，学校与石家庄市栾城区就业服务局达成了合作意向，就SYB创业培训和“政府购买公共服务”项目签订了合作协议。为创业学生集中办理《就业创业证》，并开设SYB创业培训班，创业学生凭《就业创业证》、《SYB创业培训合格证》、公司营业执照等证件可申请1万元的创业补贴和每人不超过20万元的小额担保贴息贷款。</w:t>
      </w:r>
    </w:p>
    <w:p>
      <w:pPr>
        <w:pStyle w:val="33"/>
        <w:spacing w:before="180" w:after="180" w:afterLines="0" w:line="360" w:lineRule="auto"/>
        <w:ind w:firstLine="482" w:firstLineChars="200"/>
        <w:outlineLvl w:val="2"/>
        <w:rPr>
          <w:rFonts w:ascii="Times New Roman" w:hAnsi="Times New Roman" w:eastAsia="宋体"/>
          <w:sz w:val="24"/>
          <w:szCs w:val="24"/>
        </w:rPr>
      </w:pPr>
      <w:bookmarkStart w:id="135" w:name="_Toc501407826"/>
      <w:r>
        <w:rPr>
          <w:rFonts w:hint="eastAsia" w:ascii="Times New Roman" w:hAnsi="Times New Roman" w:eastAsia="宋体"/>
          <w:sz w:val="24"/>
          <w:szCs w:val="24"/>
        </w:rPr>
        <w:t>3．壮大导师队伍，提高指导能力</w:t>
      </w:r>
      <w:bookmarkEnd w:id="135"/>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组建了集创作型、政策型、经营型和辅导型为一体的创业导师团队，并且通过两种途径不断壮大创业导师队伍。一是不断聘请校外业内专家加入到导师队伍中，把行业最新动态和专业知识带给学生；二是对校内创业导师进行培训，不断提高其在创新创作指导、SYB创业培训、创业政策咨询、项目开发、投融资及企业管理等方面的指导与服务水平。</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2016年以来，学校又聘请了一批业内人士做为创业导师。例如聘请著名导演尤小刚创办的北京京都世纪文化传播有限公司总经理杜鸿先生为创业导师，为校内学生在影视剧创作、公司经营管理方面开展指导；聘请了河北诚诺财税有限公司总经理田杰及其财务经理担任创业导师，为学生在公司注册、财务管理和税务管理方面进行指导。</w:t>
      </w:r>
    </w:p>
    <w:p>
      <w:pPr>
        <w:pStyle w:val="4"/>
        <w:autoSpaceDE w:val="0"/>
        <w:spacing w:beforeLines="0" w:afterLines="0" w:line="312" w:lineRule="auto"/>
        <w:ind w:firstLine="0" w:firstLineChars="0"/>
        <w:jc w:val="both"/>
        <w:rPr>
          <w:rFonts w:eastAsia="黑体"/>
          <w:bCs w:val="0"/>
          <w:snapToGrid/>
          <w:sz w:val="28"/>
          <w:szCs w:val="28"/>
        </w:rPr>
      </w:pPr>
      <w:bookmarkStart w:id="136" w:name="_Toc501407827"/>
      <w:r>
        <w:rPr>
          <w:rFonts w:hint="eastAsia" w:eastAsia="黑体"/>
          <w:bCs w:val="0"/>
          <w:snapToGrid/>
          <w:sz w:val="28"/>
          <w:szCs w:val="28"/>
        </w:rPr>
        <w:t>（三）工作措施</w:t>
      </w:r>
      <w:bookmarkEnd w:id="136"/>
    </w:p>
    <w:p>
      <w:pPr>
        <w:pStyle w:val="33"/>
        <w:spacing w:before="180" w:after="180" w:afterLines="0" w:line="360" w:lineRule="auto"/>
        <w:ind w:firstLine="482" w:firstLineChars="200"/>
        <w:outlineLvl w:val="2"/>
        <w:rPr>
          <w:rFonts w:ascii="Times New Roman" w:hAnsi="Times New Roman" w:eastAsia="宋体"/>
          <w:sz w:val="24"/>
          <w:szCs w:val="24"/>
        </w:rPr>
      </w:pPr>
      <w:bookmarkStart w:id="137" w:name="_Toc501407828"/>
      <w:r>
        <w:rPr>
          <w:rFonts w:hint="eastAsia" w:ascii="Times New Roman" w:hAnsi="Times New Roman" w:eastAsia="宋体"/>
          <w:sz w:val="24"/>
          <w:szCs w:val="24"/>
        </w:rPr>
        <w:t>1．构建“政、企、学、协”四方联动的创新创业生态圈</w:t>
      </w:r>
      <w:bookmarkEnd w:id="137"/>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政”，是密切关注教育厅、人社厅、科技厅、团省委等政府部门出台的创新创业的各项扶持政策，做到熟知政策、用好政策，争取政府部门的扶持和帮助。比如积极参与科技局开展的各项扶持创新创业的项目评审；积极与当地就业服务局就创新创业开展各项合作等。</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“企”，是广泛开展与文化传播、风险投资企业的合作，引进风险投资、开展项目合作，使学生的创业项目可以得到风投的注资和市场化的运营。</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“学”是整合学校和兄弟院校的优势教学和学生资源，在导师聘请、教育教学、项目开发等方面开展深度合作。</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“协”是与教育协会、行业协会，例如中国民办高等教育协会、河北省高等教育协会、河北省青年创业协会以及各行业协会等组织开展合作，形成资源共享、共生共赢的工作态势。</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目前，学校的创业孵化工作已构建了“政、企、学、协”等多方面的协同工作机制，形成政府支持、企业合作、学界联合、协会助力的工作局面，构建了四方联动的创新创业生态圈。</w:t>
      </w:r>
    </w:p>
    <w:p>
      <w:pPr>
        <w:pStyle w:val="33"/>
        <w:spacing w:before="180" w:after="180" w:afterLines="0" w:line="360" w:lineRule="auto"/>
        <w:ind w:firstLine="482" w:firstLineChars="200"/>
        <w:outlineLvl w:val="2"/>
        <w:rPr>
          <w:rFonts w:ascii="Times New Roman" w:hAnsi="Times New Roman" w:eastAsia="宋体"/>
          <w:sz w:val="24"/>
          <w:szCs w:val="24"/>
        </w:rPr>
      </w:pPr>
      <w:bookmarkStart w:id="138" w:name="_Toc501407829"/>
      <w:r>
        <w:rPr>
          <w:rFonts w:hint="eastAsia" w:ascii="Times New Roman" w:hAnsi="Times New Roman" w:eastAsia="宋体"/>
          <w:sz w:val="24"/>
          <w:szCs w:val="24"/>
        </w:rPr>
        <w:t>2．健全管理制度，完善配套办法</w:t>
      </w:r>
      <w:bookmarkEnd w:id="138"/>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学校在建立了《大学生创业孵化基地创新创业项目申报及评审办法》、《创业孵化管理办公室工作职责》等一系列规章制度的基础上，进一步出台了系列规章制度。</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是完善了创业项目考核、退出机制。学校制定了《大学生创业孵化园区创业项目评审考核办法》，对入驻园区的创业项目实行年度考核，优胜劣汰，年度考核合格项目的给予奖励；年度考核不合格的予以清退，使入驻项目有危机感、紧迫感和生存意识。</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是出台了系列鼓励学生创新创业的管理办法。为提升学生全面素质，学校先后出台了《大学生创新创业活动学分认定办法（试行）》《实践创新学分认定及置换办法（暂行）》等政策，鼓励大学生积极参加各级各类课外学术文化科技活动和创新创业活动，对在创新竞赛、创业活动、科学研究、发明创造、技术开发和发表论文等方面取得成果的学生，均给予学分存储置换和一定的奖励。在2017年新修订的《学生手册》中，明确规定了在校生可以申请休学创业。在《大学生创新创业活动学分认定办法（试行）》中详细规定了课外学术文化科技活动和创新创业活动的学分认定标准和认定程序，以及学分的记载形式和用途。学生取得的创新学分计入学生本人的成绩档案，考核成绩为“优秀”的学生，可以申请将创新创业学分替代《大学生就业与创业指导课》，或不超过3学分的专业选修课。</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这些制度的出台，有效激发了学生创新创业的积极性，为园区项目入驻注入了源源不断的生机和活力。</w:t>
      </w:r>
    </w:p>
    <w:p>
      <w:pPr>
        <w:pStyle w:val="33"/>
        <w:spacing w:before="180" w:after="180" w:afterLines="0" w:line="360" w:lineRule="auto"/>
        <w:ind w:firstLine="482" w:firstLineChars="200"/>
        <w:outlineLvl w:val="2"/>
        <w:rPr>
          <w:rFonts w:ascii="Times New Roman" w:hAnsi="Times New Roman" w:eastAsia="宋体"/>
          <w:sz w:val="24"/>
          <w:szCs w:val="24"/>
        </w:rPr>
      </w:pPr>
      <w:bookmarkStart w:id="139" w:name="_Toc501407830"/>
      <w:r>
        <w:rPr>
          <w:rFonts w:hint="eastAsia" w:ascii="Times New Roman" w:hAnsi="Times New Roman" w:eastAsia="宋体"/>
          <w:sz w:val="24"/>
          <w:szCs w:val="24"/>
        </w:rPr>
        <w:t>3．加强校企合作，助推项目孵化</w:t>
      </w:r>
      <w:bookmarkEnd w:id="139"/>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以“校企合作”的方式助推创业项目孵化，孵化园专门设立了校企合作区，以“前店后厂”方式，常年与20多家行业企业展开紧密合作，将行业内的文化产业项目引入到园区内，由创业导师指导创业团队参与项目的创作，使一批以影视制作为主的创业团队既能“有活儿干”，维持公司运营，又能切实提高创业能力。比如一江水文化传播工作室参与制作了纪录片《昌黎地秧歌》的拍摄与制作；影视艺术学院的创业团队在导师的指导下参与了正定电视台8集纪录片《玩转正定》、16集纪录片《正定故事》等的合作拍摄。专家工作室定期对学生进行授课和辅导，把业界一些前沿和高端的文化产品项目带到工作室，让团队参加创作和研发，催生了《秦俑复生》《在桃花盛开的地方》等一系列优秀作品。此外，园区创业团队还参与到河北天鹅堡文化发展有限公司联合出品的80集大型情景喜剧《初遇少年》的拍摄中；与河北电视台联合摄制大型收藏栏目《品真》节目的录制中；大型娱乐真人秀节目《尖叫吧灰姑娘》的录制过程中。</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通过这些校企合作项目的引进，将创业学生的创作技能与企业资本、设备、师资有效嫁接，助推了项目的孵化。</w:t>
      </w:r>
    </w:p>
    <w:p>
      <w:pPr>
        <w:pStyle w:val="33"/>
        <w:spacing w:before="180" w:after="180" w:afterLines="0" w:line="360" w:lineRule="auto"/>
        <w:ind w:firstLine="482" w:firstLineChars="200"/>
        <w:outlineLvl w:val="2"/>
        <w:rPr>
          <w:rFonts w:ascii="Times New Roman" w:hAnsi="Times New Roman" w:eastAsia="宋体"/>
          <w:sz w:val="24"/>
          <w:szCs w:val="24"/>
        </w:rPr>
      </w:pPr>
      <w:bookmarkStart w:id="140" w:name="_Toc501407831"/>
      <w:r>
        <w:rPr>
          <w:rFonts w:hint="eastAsia" w:ascii="Times New Roman" w:hAnsi="Times New Roman" w:eastAsia="宋体"/>
          <w:sz w:val="24"/>
          <w:szCs w:val="24"/>
        </w:rPr>
        <w:t>4．引进SYB培训，强化实战训练</w:t>
      </w:r>
      <w:bookmarkEnd w:id="140"/>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与栾城区就业服务局就深入开展SYB创业培训签订了合作协议。SYB创业培训是人社部唯一认证的国家级培训，高校毕业生办理了《就业创业证》并获得《SYB创业培训合格证》可以享受在创业补贴、小额担保贴息贷款、免费入驻创业孵化园、领取社保补贴等方面一系列的优惠政策。为了使广大创业学生能够享受的到政府的优惠政策，园区全力争取达成了政府合作，为所有创业学生全程免费办班。截至到现在，已连续为创业团队的学生连续开办了4期SYB创业培训班，即将开办5-8期，先后有112名学员参加了培训，为其办理了《就业创业证》，考试合格的颁发了《创业培训合格证》。</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SYB创业培训的特点是对学生创业项目的实战训练和实践指导，为了给团队更加实用的指导，学校专门聘请专业从事财务管理的业内人士给学生授课，使其掌握经营管理公司的最重要的财务、营销等管理知识，切实提高其创业实践能力，提高创业成功率。多名学员在培训后还取得了免费入驻创业孵化园的资格，获得了政府专项资金的扶持。</w:t>
      </w:r>
    </w:p>
    <w:p>
      <w:pPr>
        <w:pStyle w:val="33"/>
        <w:spacing w:before="180" w:after="180" w:afterLines="0" w:line="360" w:lineRule="auto"/>
        <w:ind w:firstLine="482" w:firstLineChars="200"/>
        <w:outlineLvl w:val="2"/>
        <w:rPr>
          <w:rFonts w:ascii="Times New Roman" w:hAnsi="Times New Roman" w:eastAsia="宋体"/>
          <w:sz w:val="24"/>
          <w:szCs w:val="24"/>
        </w:rPr>
      </w:pPr>
      <w:bookmarkStart w:id="141" w:name="_Toc501407832"/>
      <w:r>
        <w:rPr>
          <w:rFonts w:hint="eastAsia" w:ascii="Times New Roman" w:hAnsi="Times New Roman" w:eastAsia="宋体"/>
          <w:sz w:val="24"/>
          <w:szCs w:val="24"/>
        </w:rPr>
        <w:t>5．探索孵化模式，推进市场化运营</w:t>
      </w:r>
      <w:bookmarkEnd w:id="141"/>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生创业项目多为拍摄制作微电影、网络大电影、网络系列剧等产品。当前，院线排片空间有限，对于创业团队创作的大量不能实现院线排片的微电影、网络系列剧等，园区积极探索孵化模式，对于数字娱乐产品采取与互联网发行媒体合作，以“收看付费票房分成”的模式，孵化大量有发行诉求的学生作品。在当前互联网开放式的观影模式与微电影低成本的制作模式下，该孵化模式有效实现了流量变现，创造了经济效益，推进了项目的市场化运营。</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比如，影视艺术学院学生李洪绸创办的优优映视出品的三季44集新媒体电影《毛骗》，以点播付费的方式在优酷发行，全网点击量5个亿，有效播次以10%计算可达5000万；前两季免费播放，最后一季付费收看，与发行方以五五分账的模式计算，该片投入市场后的主营业务收入可达1000万。</w:t>
      </w:r>
    </w:p>
    <w:p>
      <w:pPr>
        <w:pStyle w:val="33"/>
        <w:spacing w:before="180" w:after="180" w:afterLines="0" w:line="360" w:lineRule="auto"/>
        <w:ind w:firstLine="482" w:firstLineChars="200"/>
        <w:outlineLvl w:val="2"/>
        <w:rPr>
          <w:rFonts w:ascii="Times New Roman" w:hAnsi="Times New Roman" w:eastAsia="宋体"/>
          <w:sz w:val="24"/>
          <w:szCs w:val="24"/>
        </w:rPr>
      </w:pPr>
      <w:bookmarkStart w:id="142" w:name="_Toc501407833"/>
      <w:r>
        <w:rPr>
          <w:rFonts w:hint="eastAsia" w:ascii="Times New Roman" w:hAnsi="Times New Roman" w:eastAsia="宋体"/>
          <w:sz w:val="24"/>
          <w:szCs w:val="24"/>
        </w:rPr>
        <w:t>6．加强舆论宣传，营造创业氛围</w:t>
      </w:r>
      <w:bookmarkEnd w:id="142"/>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致力于打造良好的创业文化与氛围，帮助入驻创业实体开展宣传报道，展示创业形象，树立创业品牌。一是利用新媒体对学校创业情况进行宣传。如在就业指导中心网站、河传就业创业微信公众号、河传电视台等媒体，积极宣传国家和地方促进创业的政策措施，宣传学校加强创业孵化示范园建设、扶持学生自主创业的举措和办法。二是利用传统媒体营造校园氛围，比如在学生中发放石家庄市就业局印制的《石家庄市关于促进高校毕业生自主创业的扶持政策》；在学校宣传展位悬挂鼓励学生创新创业的宣传标语等；三是在国家级媒体进行重点报道。人民日报、光明日报、人民代表报对学校搭建“两个舞台”的办学特色从不同角度进行了报道。2017年3月12日，《人民代表报》以《跟进产业 搭建舞台 努力培养应用型人才》为题，对学校进行整版报道，社会反响强烈。</w:t>
      </w:r>
    </w:p>
    <w:p>
      <w:pPr>
        <w:pStyle w:val="4"/>
        <w:autoSpaceDE w:val="0"/>
        <w:spacing w:beforeLines="0" w:afterLines="0" w:line="312" w:lineRule="auto"/>
        <w:ind w:firstLine="0" w:firstLineChars="0"/>
        <w:jc w:val="both"/>
        <w:rPr>
          <w:rFonts w:eastAsia="黑体"/>
          <w:bCs w:val="0"/>
          <w:snapToGrid/>
          <w:sz w:val="28"/>
          <w:szCs w:val="28"/>
        </w:rPr>
      </w:pPr>
      <w:bookmarkStart w:id="143" w:name="_Toc501407834"/>
      <w:r>
        <w:rPr>
          <w:rFonts w:hint="eastAsia" w:eastAsia="黑体"/>
          <w:bCs w:val="0"/>
          <w:snapToGrid/>
          <w:sz w:val="28"/>
          <w:szCs w:val="28"/>
        </w:rPr>
        <w:t>（四）工作成效</w:t>
      </w:r>
      <w:bookmarkEnd w:id="143"/>
    </w:p>
    <w:p>
      <w:pPr>
        <w:pStyle w:val="33"/>
        <w:spacing w:before="180" w:after="180" w:afterLines="0" w:line="360" w:lineRule="auto"/>
        <w:ind w:firstLine="482" w:firstLineChars="200"/>
        <w:outlineLvl w:val="2"/>
        <w:rPr>
          <w:rFonts w:ascii="Times New Roman" w:hAnsi="Times New Roman" w:eastAsia="宋体"/>
          <w:sz w:val="24"/>
          <w:szCs w:val="24"/>
        </w:rPr>
      </w:pPr>
      <w:bookmarkStart w:id="144" w:name="_Toc501407835"/>
      <w:r>
        <w:rPr>
          <w:rFonts w:hint="eastAsia" w:ascii="Times New Roman" w:hAnsi="Times New Roman" w:eastAsia="宋体"/>
          <w:sz w:val="24"/>
          <w:szCs w:val="24"/>
        </w:rPr>
        <w:t>1．“以赛促创”，掀起双创浪潮</w:t>
      </w:r>
      <w:bookmarkEnd w:id="144"/>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积极开展创新创竞赛、训练和讲座等活动，营造浓厚的校园创新创业氛围，让学生在实践中提升创新创业能力。鼓励学生积极参加“互联网+”、“创青春”、“挑战杯”等创新创业比赛，达到“以赛促教”、“以赛促学”、“以赛促创”的目的。2017年第三届“互联网”大学生创新创业大赛省赛中，学校参赛项目307项，参赛学生1278人次，共获得省级比赛铜奖15项，校级比赛优秀项目奖63项，优秀组织奖4项，优秀指导教师奖19项，在校内掀起了创新创业的新浪潮，营造了浓厚的创新创业氛围。2017年9月，学校组织多个学生创业团队参与团省委组织的“河北省大学生创新创业成果展”等活动，河北比如文化传播有限公司获得了“十个大学生最喜爱的参展项目奖”。</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将创客训练营、创业竞赛的比赛结果作为遴选大学生创业项目入驻创业孵化园的主要指标。使创新创业讲座、创业沙龙、SYB课程培训等活动开展常态化。多次邀请大学生创业明星李海洋，学校创业成功校友韩佳、杨东、省人社厅创业指导专家、石家庄市就业局创业指导中心主任许月等来校举办创业讲座。学校成为石家庄市就业局“创业大讲堂”合作单位以及河北省就业创业协会“青年创业研究会”工作站。</w:t>
      </w:r>
    </w:p>
    <w:p>
      <w:pPr>
        <w:pStyle w:val="33"/>
        <w:spacing w:before="180" w:after="180" w:afterLines="0" w:line="360" w:lineRule="auto"/>
        <w:ind w:firstLine="482" w:firstLineChars="200"/>
        <w:outlineLvl w:val="2"/>
        <w:rPr>
          <w:rFonts w:ascii="Times New Roman" w:hAnsi="Times New Roman" w:eastAsia="宋体"/>
          <w:sz w:val="24"/>
          <w:szCs w:val="24"/>
        </w:rPr>
      </w:pPr>
      <w:bookmarkStart w:id="145" w:name="_Toc501407836"/>
      <w:r>
        <w:rPr>
          <w:rFonts w:hint="eastAsia" w:ascii="Times New Roman" w:hAnsi="Times New Roman" w:eastAsia="宋体"/>
          <w:sz w:val="24"/>
          <w:szCs w:val="24"/>
        </w:rPr>
        <w:t>2．围绕专业优势多样化创业,服务区域经济</w:t>
      </w:r>
      <w:bookmarkEnd w:id="145"/>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在“学、练、干、创”一条线的人才培养模式下，创业学生既具备了一定的文化底蕴，又锻炼了技艺和技能，经过了产业项目的实践训练，其创新创业能力得到了很大的提升，因此许多学生在毕业后即走上了创新创业的道路。学生创业呈现出三个特点：一是紧紧围绕专业领域创新创业。据跟踪调查研究，学校学生创业领域主要集中在媒体信息产业、教育培训业、艺术娱乐业等行业领域，占比达到了70%。尤其是在新媒体领域内的创业，河北优映文化传播（李洪绸工作室）、河北比如文化传播（欧金亮创办）等逐渐崭露头角，成为业界比较有影响力的创业企业。二是创业形式多样化，呈现出自主创业、岗位创业等多种形式。学生创业逐渐呈现出岗位创业的新势头，学生在自己的工作岗位上创新，对自己本岗位本职业做出了贡献和创举。比如表演艺术学院2014届毕业生刘世平目前就职于浙江百花集团担任主持人和演员职务，不但在自己的工作岗位上表现优异，还利用自己的专业特长，为集团开辟了新的培训业务，为公司带来了丰厚的收益，毕业三年年薪已达到了20万元。三是有效服务区域经济文化。学校学生自主创业与当地经济融为一体，有效服务河北当地区域经济文化。据调查，河北省的婚庆礼仪服务公司有一半以上是学校学生创办，学生创办的婚庆公司遍布河北省内各地市，既服务了当地的文化礼仪服务行业，又带动了学校学生的就业，提供了大量的工作岗位。</w:t>
      </w:r>
    </w:p>
    <w:p>
      <w:pPr>
        <w:pStyle w:val="33"/>
        <w:spacing w:before="180" w:after="180" w:afterLines="0" w:line="360" w:lineRule="auto"/>
        <w:ind w:firstLine="482" w:firstLineChars="200"/>
        <w:outlineLvl w:val="2"/>
        <w:rPr>
          <w:rFonts w:ascii="Times New Roman" w:hAnsi="Times New Roman" w:eastAsia="宋体"/>
          <w:sz w:val="24"/>
          <w:szCs w:val="24"/>
        </w:rPr>
      </w:pPr>
      <w:bookmarkStart w:id="146" w:name="_Toc501407837"/>
      <w:r>
        <w:rPr>
          <w:rFonts w:hint="eastAsia" w:ascii="Times New Roman" w:hAnsi="Times New Roman" w:eastAsia="宋体"/>
          <w:sz w:val="24"/>
          <w:szCs w:val="24"/>
        </w:rPr>
        <w:t>3．创业典型：走文化创意产业领域内的科技创新之路</w:t>
      </w:r>
      <w:bookmarkEnd w:id="146"/>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创业的学生在文化创意产业领域内探索出了一条独特的“科技创新”之路。传媒艺术类院校创业学生的科技创新不同于理工类院校的科技创新，该科技创新以“创新创作”、“创意服务”为主要内容的创新，强调使用互联网+技术，在文化创意领域内开展数字娱乐产品的生产与制作。</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表演艺术学院毕业生欧金亮创办的河北比如文化传播有限公司，是一家生产数字文化娱乐产品的互联网内容制作公司，自2015年创办以来，出品了《炫目鸡尾酒》、《杀手绝命基地》、《山炮贼中贼》系列和《五福星》等网络大电影，2016年营业额突破1000万元。公司先后与马来西亚、泰国国家电视台、爱奇艺、优酷、阿里巴巴影业建立了长期的合作关系。2016年，河北比如文化传播有限公司获得石家庄市科技局“科技型中小企业”认定，并获得相应的资金支持。欧金亮本人获得石家庄市“五四青年”奖章、河北省教育厅“大学生创业之星”等荣誉称号。</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悦翊科技河北有限公司由河北传媒学院校艺术设计学院2016届广告学专业毕业生杨健创办，公司于2017年1月正式注册，注册资本为300万元。杨健在校期间就对无人机驾驶和应用产生了浓厚的兴趣，经过在校学习和社会实践，逐渐掌握了以航空拍摄为主的国内主流无人机的驾驶技术，成为一名出色的飞手，并产生了在无人机领域内创业的想法。经过一段时间的试运营，悦翊科技河北有限公司正式成立，是以无人机技术应用为主，渗透于广告、媒体、航空影像测量、农林植保、基础设备巡检等应用领域的科技型创业企业。以技术创新为用户提供无人机及相关产品解决方案集成、定制及二次开发、技术支持与培训等服务。公司曾多次参与中央电视台纪录片频道、中文国际频道、河北广播电视台经济、农民频道的大型活动的航拍直播项目，合作拍摄了纪录片《传承》、《永远跟党走》MV等；为企事业单位塑黄铁路、中交博迈科、中煤化工、吉利汽车、比速汽车、一汽大众、一汽奥迪等品牌提供航拍、技术支持、产品采购等。在研项目也取得了实质性进展，预计年内会有产品原型机面市。目前，悦翊科技计划与母校合作开展“无人机训练营活动”，该项目的开展将带动学校大量无人机爱好学生在驾驶和销售领域的就业。</w:t>
      </w:r>
    </w:p>
    <w:p>
      <w:pPr>
        <w:pStyle w:val="3"/>
        <w:autoSpaceDE w:val="0"/>
        <w:spacing w:line="312" w:lineRule="auto"/>
        <w:rPr>
          <w:rFonts w:ascii="Times New Roman" w:hAnsi="Times New Roman" w:eastAsia="黑体" w:cs="Times New Roman"/>
        </w:rPr>
      </w:pPr>
      <w:bookmarkStart w:id="147" w:name="_Toc470619970"/>
      <w:bookmarkStart w:id="148" w:name="_Toc12888"/>
      <w:bookmarkStart w:id="149" w:name="_Toc462761924"/>
      <w:bookmarkStart w:id="150" w:name="_Toc501407838"/>
      <w:r>
        <w:rPr>
          <w:rFonts w:hint="eastAsia" w:ascii="Times New Roman" w:hAnsi="Times New Roman" w:eastAsia="黑体" w:cs="Times New Roman"/>
        </w:rPr>
        <w:t>三、就业指导服务情况</w:t>
      </w:r>
      <w:bookmarkEnd w:id="147"/>
      <w:bookmarkEnd w:id="148"/>
      <w:bookmarkEnd w:id="149"/>
      <w:bookmarkEnd w:id="150"/>
    </w:p>
    <w:p>
      <w:pPr>
        <w:pStyle w:val="4"/>
        <w:autoSpaceDE w:val="0"/>
        <w:spacing w:beforeLines="0" w:afterLines="0" w:line="312" w:lineRule="auto"/>
        <w:ind w:firstLine="0" w:firstLineChars="0"/>
        <w:jc w:val="both"/>
        <w:rPr>
          <w:rFonts w:eastAsia="黑体"/>
          <w:bCs w:val="0"/>
          <w:snapToGrid/>
          <w:sz w:val="28"/>
          <w:szCs w:val="28"/>
        </w:rPr>
      </w:pPr>
      <w:bookmarkStart w:id="151" w:name="_Toc439344086"/>
      <w:bookmarkStart w:id="152" w:name="_Toc470619971"/>
      <w:bookmarkStart w:id="153" w:name="_Toc5934"/>
      <w:bookmarkStart w:id="154" w:name="_Toc462761925"/>
      <w:bookmarkStart w:id="155" w:name="_Toc501407839"/>
      <w:r>
        <w:rPr>
          <w:rFonts w:hint="eastAsia" w:eastAsia="黑体"/>
          <w:bCs w:val="0"/>
          <w:snapToGrid/>
          <w:sz w:val="28"/>
          <w:szCs w:val="28"/>
        </w:rPr>
        <w:t>（一）毕业生对学校职业指导与就业服务工作的评价</w:t>
      </w:r>
      <w:bookmarkEnd w:id="151"/>
      <w:bookmarkEnd w:id="152"/>
      <w:bookmarkEnd w:id="153"/>
      <w:bookmarkEnd w:id="154"/>
      <w:bookmarkEnd w:id="155"/>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科毕业生：学校2017届本科毕业生对学校总体及各项职业指导与就业服务工作的满意度均在80.00%以上，处于较高水平；其中满意度最高的是“创新创业教育开展情况”（86.73%）。一方面表明学校职业指导与就业服务工作得到了毕业生的认可；另一方面也体现了学校就业工作在促进毕业生顺利就业、高质量就业中所发挥的重要作用。</w:t>
      </w:r>
    </w:p>
    <w:p>
      <w:pPr>
        <w:pStyle w:val="32"/>
        <w:spacing w:before="156" w:after="156"/>
        <w:ind w:firstLine="0" w:firstLineChars="0"/>
        <w:jc w:val="center"/>
        <w:rPr>
          <w:color w:val="auto"/>
        </w:rPr>
      </w:pPr>
      <w:r>
        <w:drawing>
          <wp:inline distT="0" distB="0" distL="114300" distR="114300">
            <wp:extent cx="4718050" cy="2162175"/>
            <wp:effectExtent l="0" t="0" r="6350" b="9525"/>
            <wp:docPr id="3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
                    <pic:cNvPicPr>
                      <a:picLocks noChangeAspect="1"/>
                    </pic:cNvPicPr>
                  </pic:nvPicPr>
                  <pic:blipFill>
                    <a:blip r:embed="rId19"/>
                    <a:stretch>
                      <a:fillRect/>
                    </a:stretch>
                  </pic:blipFill>
                  <pic:spPr>
                    <a:xfrm>
                      <a:off x="0" y="0"/>
                      <a:ext cx="4718050" cy="2162175"/>
                    </a:xfrm>
                    <a:prstGeom prst="rect">
                      <a:avLst/>
                    </a:prstGeom>
                    <a:noFill/>
                    <a:ln w="9525">
                      <a:noFill/>
                    </a:ln>
                  </pic:spPr>
                </pic:pic>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图2-1  本科毕业生对学校职业指导与就业服务工作的评价</w:t>
      </w:r>
    </w:p>
    <w:p>
      <w:pPr>
        <w:spacing w:before="156" w:beforeLines="50" w:after="156" w:afterLines="50" w:line="312" w:lineRule="auto"/>
        <w:ind w:firstLine="420" w:firstLineChars="200"/>
        <w:rPr>
          <w:rFonts w:ascii="Times New Roman" w:hAnsi="Times New Roman"/>
          <w:szCs w:val="18"/>
        </w:rPr>
      </w:pPr>
      <w:bookmarkStart w:id="156" w:name="_Toc439344087"/>
      <w:r>
        <w:rPr>
          <w:rFonts w:hint="eastAsia" w:ascii="Times New Roman" w:hAnsi="Times New Roman"/>
          <w:szCs w:val="18"/>
        </w:rPr>
        <w:t xml:space="preserve"> 注：满意度=“很满意”+“比较满意”+“一般”。</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专科毕业生：学校2017届专科毕业生对学校总体及各项职业指导与就业服务工作的满意度均在83.00%以上，处于较高水平；其中满意度最高的是“就业创业政策宣传咨询情况”（90.01%）。</w:t>
      </w:r>
    </w:p>
    <w:p>
      <w:pPr>
        <w:spacing w:before="156" w:beforeLines="50" w:after="156" w:afterLines="50" w:line="360" w:lineRule="auto"/>
        <w:ind w:firstLine="420" w:firstLineChars="200"/>
        <w:rPr>
          <w:rFonts w:asciiTheme="minorEastAsia" w:hAnsiTheme="minorEastAsia"/>
          <w:b/>
          <w:sz w:val="24"/>
          <w:szCs w:val="24"/>
        </w:rPr>
      </w:pPr>
      <w:r>
        <w:rPr>
          <w:rFonts w:hint="eastAsia"/>
        </w:rPr>
        <w:drawing>
          <wp:inline distT="0" distB="0" distL="0" distR="0">
            <wp:extent cx="5274310" cy="2390775"/>
            <wp:effectExtent l="4445" t="4445" r="9525" b="12700"/>
            <wp:docPr id="260" name="图表 2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图2-2  专科毕业生对学校职业指导与就业服务工作的评价</w:t>
      </w:r>
    </w:p>
    <w:p>
      <w:pPr>
        <w:spacing w:before="156" w:beforeLines="50" w:after="156" w:afterLines="50" w:line="312" w:lineRule="auto"/>
        <w:ind w:firstLine="420" w:firstLineChars="200"/>
        <w:rPr>
          <w:rFonts w:ascii="Times New Roman" w:hAnsi="Times New Roman"/>
          <w:szCs w:val="18"/>
        </w:rPr>
      </w:pPr>
      <w:r>
        <w:rPr>
          <w:rFonts w:hint="eastAsia" w:ascii="Times New Roman" w:hAnsi="Times New Roman"/>
          <w:szCs w:val="18"/>
        </w:rPr>
        <w:t xml:space="preserve"> 注：满意度=“很满意”+“比较满意”+“一般”。</w:t>
      </w:r>
    </w:p>
    <w:p>
      <w:pPr>
        <w:pStyle w:val="4"/>
        <w:autoSpaceDE w:val="0"/>
        <w:spacing w:beforeLines="0" w:afterLines="0" w:line="312" w:lineRule="auto"/>
        <w:ind w:firstLine="0" w:firstLineChars="0"/>
        <w:jc w:val="both"/>
        <w:rPr>
          <w:rFonts w:eastAsia="黑体"/>
          <w:bCs w:val="0"/>
          <w:snapToGrid/>
          <w:sz w:val="28"/>
          <w:szCs w:val="28"/>
        </w:rPr>
      </w:pPr>
      <w:bookmarkStart w:id="157" w:name="_Toc9193"/>
      <w:bookmarkStart w:id="158" w:name="_Toc470619972"/>
      <w:bookmarkStart w:id="159" w:name="_Toc462761926"/>
      <w:bookmarkStart w:id="160" w:name="_Toc501407840"/>
      <w:r>
        <w:rPr>
          <w:rFonts w:hint="eastAsia" w:eastAsia="黑体"/>
          <w:bCs w:val="0"/>
          <w:snapToGrid/>
          <w:sz w:val="28"/>
          <w:szCs w:val="28"/>
        </w:rPr>
        <w:t>（二）毕业生对所在学院职业指导与就业服务工作的评价</w:t>
      </w:r>
      <w:bookmarkEnd w:id="156"/>
      <w:bookmarkEnd w:id="157"/>
      <w:bookmarkEnd w:id="158"/>
      <w:bookmarkEnd w:id="159"/>
      <w:bookmarkEnd w:id="160"/>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本科毕业生：学校2017届本科毕业生对所在学院职业指导与就业服务工作满意度均在81.00%以上，其中对舞蹈艺术学院的满意度达到91.26%。</w:t>
      </w:r>
    </w:p>
    <w:p>
      <w:pPr>
        <w:pStyle w:val="32"/>
        <w:spacing w:before="156" w:after="156"/>
        <w:ind w:firstLine="477" w:firstLineChars="199"/>
        <w:jc w:val="center"/>
        <w:rPr>
          <w:rFonts w:ascii="Times New Roman" w:hAnsi="Times New Roman" w:cs="Times New Roman"/>
          <w:snapToGrid w:val="0"/>
        </w:rPr>
      </w:pPr>
      <w:r>
        <w:rPr>
          <w:rFonts w:hint="eastAsia" w:ascii="Times New Roman" w:hAnsi="Times New Roman" w:cs="Times New Roman"/>
          <w:snapToGrid w:val="0"/>
          <w:color w:val="auto"/>
        </w:rPr>
        <w:drawing>
          <wp:inline distT="0" distB="0" distL="0" distR="0">
            <wp:extent cx="4552950" cy="2362200"/>
            <wp:effectExtent l="4445" t="4445" r="14605" b="14605"/>
            <wp:docPr id="84" name="图表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32"/>
        <w:spacing w:before="156" w:after="156"/>
        <w:ind w:firstLine="477" w:firstLineChars="199"/>
        <w:jc w:val="center"/>
        <w:rPr>
          <w:rFonts w:ascii="Times New Roman" w:hAnsi="Times New Roman" w:cs="Times New Roman"/>
          <w:snapToGrid w:val="0"/>
        </w:rPr>
      </w:pPr>
      <w:r>
        <w:rPr>
          <w:rFonts w:hint="eastAsia" w:ascii="Times New Roman" w:hAnsi="Times New Roman" w:cs="Times New Roman"/>
          <w:snapToGrid w:val="0"/>
        </w:rPr>
        <w:t>图2-3 本科毕业生对所在学院职业指导与就业服务工作的评价</w:t>
      </w:r>
    </w:p>
    <w:p>
      <w:pPr>
        <w:spacing w:before="156" w:beforeLines="50" w:after="156" w:afterLines="50" w:line="312" w:lineRule="auto"/>
        <w:ind w:firstLine="420" w:firstLineChars="200"/>
        <w:rPr>
          <w:rFonts w:ascii="Times New Roman" w:hAnsi="Times New Roman"/>
          <w:szCs w:val="18"/>
        </w:rPr>
      </w:pPr>
      <w:bookmarkStart w:id="161" w:name="_Toc439344088"/>
      <w:r>
        <w:rPr>
          <w:rFonts w:hint="eastAsia" w:ascii="Times New Roman" w:hAnsi="Times New Roman"/>
          <w:szCs w:val="18"/>
        </w:rPr>
        <w:t>注：满意度=“很满意”+“比较满意”+“一般”。</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专科毕业生：学校2017届专科毕业生对所在学院职业指导与就业服务工作的满意度均在80.00%以上；其中对表演艺术学院的满意度均达到90.12%。</w:t>
      </w:r>
    </w:p>
    <w:p>
      <w:pPr>
        <w:pStyle w:val="6"/>
        <w:spacing w:line="360" w:lineRule="auto"/>
        <w:jc w:val="center"/>
        <w:rPr>
          <w:rFonts w:ascii="Times New Roman" w:hAnsi="Times New Roman" w:eastAsia="宋体" w:cs="Times New Roman"/>
          <w:snapToGrid w:val="0"/>
          <w:kern w:val="0"/>
          <w:sz w:val="24"/>
          <w:szCs w:val="24"/>
        </w:rPr>
      </w:pPr>
      <w:r>
        <w:rPr>
          <w:rFonts w:hint="eastAsia"/>
        </w:rPr>
        <w:drawing>
          <wp:inline distT="0" distB="0" distL="0" distR="0">
            <wp:extent cx="4344035" cy="2018030"/>
            <wp:effectExtent l="5080" t="4445" r="13335" b="15875"/>
            <wp:docPr id="85" name="图表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图2-4  专科毕业生对所在学院职业指导与就业服务工作的评价</w:t>
      </w:r>
    </w:p>
    <w:p>
      <w:pPr>
        <w:spacing w:before="156" w:beforeLines="50" w:after="156" w:afterLines="50" w:line="312" w:lineRule="auto"/>
        <w:ind w:firstLine="420" w:firstLineChars="200"/>
        <w:rPr>
          <w:rFonts w:eastAsia="黑体"/>
          <w:sz w:val="28"/>
          <w:szCs w:val="28"/>
        </w:rPr>
      </w:pPr>
      <w:r>
        <w:rPr>
          <w:rFonts w:hint="eastAsia" w:ascii="Times New Roman" w:hAnsi="Times New Roman"/>
          <w:szCs w:val="18"/>
        </w:rPr>
        <w:t xml:space="preserve">    注：满意度=“很满意”+“比较满意”+“一般”。</w:t>
      </w:r>
    </w:p>
    <w:p>
      <w:pPr>
        <w:pStyle w:val="4"/>
        <w:autoSpaceDE w:val="0"/>
        <w:spacing w:beforeLines="0" w:afterLines="0" w:line="312" w:lineRule="auto"/>
        <w:ind w:firstLine="0" w:firstLineChars="0"/>
        <w:jc w:val="both"/>
        <w:rPr>
          <w:rFonts w:eastAsia="黑体"/>
          <w:bCs w:val="0"/>
          <w:snapToGrid/>
          <w:sz w:val="28"/>
          <w:szCs w:val="28"/>
        </w:rPr>
      </w:pPr>
      <w:bookmarkStart w:id="162" w:name="_Toc8689"/>
      <w:bookmarkStart w:id="163" w:name="_Toc470619973"/>
      <w:bookmarkStart w:id="164" w:name="_Toc501407841"/>
      <w:bookmarkStart w:id="165" w:name="_Toc462761927"/>
      <w:r>
        <w:rPr>
          <w:rFonts w:hint="eastAsia" w:eastAsia="黑体"/>
          <w:bCs w:val="0"/>
          <w:snapToGrid/>
          <w:sz w:val="28"/>
          <w:szCs w:val="28"/>
        </w:rPr>
        <w:t>（三）用人单位对学校就业工作评价</w:t>
      </w:r>
      <w:bookmarkEnd w:id="161"/>
      <w:bookmarkEnd w:id="162"/>
      <w:bookmarkEnd w:id="163"/>
      <w:bookmarkEnd w:id="164"/>
      <w:bookmarkEnd w:id="165"/>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用人单位对学校各项就业工作的满意度均值均在4.20分以上，处于“比较满意”水平；其中对“校园招聘活动组织情况”（4.80分）和“招聘信息发布”（4.75分）的满意度最高。</w:t>
      </w:r>
    </w:p>
    <w:p>
      <w:pPr>
        <w:pStyle w:val="32"/>
        <w:spacing w:before="156" w:after="156"/>
        <w:ind w:firstLineChars="0"/>
        <w:rPr>
          <w:color w:val="auto"/>
        </w:rPr>
      </w:pPr>
      <w:r>
        <w:rPr>
          <w:color w:val="auto"/>
        </w:rPr>
        <w:drawing>
          <wp:inline distT="0" distB="0" distL="114300" distR="114300">
            <wp:extent cx="4176395" cy="1726565"/>
            <wp:effectExtent l="5080" t="5080" r="9525" b="20955"/>
            <wp:docPr id="26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图2-5  用人单位对学校就业指导与服务工作的评价</w:t>
      </w:r>
    </w:p>
    <w:p>
      <w:pPr>
        <w:spacing w:before="156" w:beforeLines="50" w:after="156" w:afterLines="50" w:line="312" w:lineRule="auto"/>
        <w:ind w:firstLine="420" w:firstLineChars="200"/>
        <w:rPr>
          <w:rFonts w:ascii="Times New Roman" w:hAnsi="Times New Roman"/>
          <w:szCs w:val="18"/>
        </w:rPr>
      </w:pPr>
      <w:r>
        <w:rPr>
          <w:rFonts w:hint="eastAsia" w:ascii="Times New Roman" w:hAnsi="Times New Roman"/>
          <w:szCs w:val="18"/>
        </w:rPr>
        <w:t>注：将用人单位对毕业生的评价维度“很不满意、比较不满意、一般、比较满意和很满意”分别赋予1-5分，计算其满意度均值。</w:t>
      </w:r>
    </w:p>
    <w:p>
      <w:pPr>
        <w:pStyle w:val="2"/>
        <w:pageBreakBefore/>
        <w:spacing w:before="460" w:after="460" w:line="312" w:lineRule="auto"/>
        <w:jc w:val="center"/>
        <w:rPr>
          <w:rFonts w:ascii="Times New Roman" w:hAnsi="Times New Roman" w:eastAsia="黑体" w:cs="Times New Roman"/>
        </w:rPr>
      </w:pPr>
      <w:bookmarkStart w:id="166" w:name="_Toc491854113"/>
      <w:bookmarkStart w:id="167" w:name="_Toc428959426"/>
      <w:bookmarkStart w:id="168" w:name="_Toc501407842"/>
      <w:bookmarkStart w:id="169" w:name="_Toc31068"/>
      <w:r>
        <w:rPr>
          <w:rFonts w:hint="eastAsia" w:ascii="Times New Roman" w:hAnsi="Times New Roman" w:eastAsia="黑体" w:cs="Times New Roman"/>
          <w:bCs w:val="0"/>
          <w:szCs w:val="36"/>
        </w:rPr>
        <w:t>第三章 抽样调查</w:t>
      </w:r>
      <w:bookmarkEnd w:id="166"/>
      <w:bookmarkEnd w:id="167"/>
      <w:r>
        <w:rPr>
          <w:rFonts w:hint="eastAsia" w:ascii="Times New Roman" w:hAnsi="Times New Roman" w:eastAsia="黑体" w:cs="Times New Roman"/>
          <w:bCs w:val="0"/>
          <w:szCs w:val="36"/>
        </w:rPr>
        <w:t>毕业生专业培养和就业情况满意度</w:t>
      </w:r>
      <w:bookmarkEnd w:id="168"/>
      <w:bookmarkEnd w:id="169"/>
    </w:p>
    <w:p>
      <w:pPr>
        <w:pStyle w:val="3"/>
        <w:autoSpaceDE w:val="0"/>
        <w:spacing w:line="312" w:lineRule="auto"/>
        <w:rPr>
          <w:rFonts w:ascii="Times New Roman" w:hAnsi="Times New Roman" w:eastAsia="黑体" w:cs="Times New Roman"/>
        </w:rPr>
      </w:pPr>
      <w:bookmarkStart w:id="170" w:name="_Toc501407843"/>
      <w:bookmarkStart w:id="171" w:name="_Toc428959427"/>
      <w:r>
        <w:rPr>
          <w:rFonts w:hint="eastAsia" w:ascii="Times New Roman" w:hAnsi="Times New Roman" w:eastAsia="黑体" w:cs="Times New Roman"/>
        </w:rPr>
        <w:t>一、抽样调查的2017届毕业生基本情况</w:t>
      </w:r>
      <w:bookmarkEnd w:id="170"/>
    </w:p>
    <w:p>
      <w:pPr>
        <w:pStyle w:val="4"/>
        <w:autoSpaceDE w:val="0"/>
        <w:spacing w:beforeLines="0" w:afterLines="0" w:line="312" w:lineRule="auto"/>
        <w:ind w:firstLine="0" w:firstLineChars="0"/>
        <w:jc w:val="both"/>
        <w:rPr>
          <w:rFonts w:eastAsia="黑体"/>
          <w:bCs w:val="0"/>
          <w:snapToGrid/>
          <w:sz w:val="28"/>
          <w:szCs w:val="28"/>
        </w:rPr>
      </w:pPr>
      <w:bookmarkStart w:id="172" w:name="_Toc501407844"/>
      <w:r>
        <w:rPr>
          <w:rFonts w:hint="eastAsia" w:eastAsia="黑体"/>
          <w:bCs w:val="0"/>
          <w:snapToGrid/>
          <w:sz w:val="28"/>
          <w:szCs w:val="28"/>
        </w:rPr>
        <w:t>（一）参与调查毕业生的性别、年龄、政治面貌、学历层次等基本情况</w:t>
      </w:r>
      <w:bookmarkEnd w:id="172"/>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本校参与此次调查的有效样本量为</w:t>
      </w:r>
      <w:bookmarkStart w:id="173" w:name="PO_count1"/>
      <w:bookmarkEnd w:id="173"/>
      <w:r>
        <w:rPr>
          <w:rFonts w:hint="eastAsia" w:ascii="Times New Roman" w:hAnsi="Times New Roman" w:eastAsia="宋体" w:cs="Times New Roman"/>
          <w:sz w:val="24"/>
          <w:szCs w:val="24"/>
        </w:rPr>
        <w:t>1317人，</w:t>
      </w:r>
      <w:bookmarkStart w:id="174" w:name="PO_111"/>
      <w:bookmarkEnd w:id="174"/>
      <w:r>
        <w:rPr>
          <w:rFonts w:hint="eastAsia" w:ascii="Times New Roman" w:hAnsi="Times New Roman" w:eastAsia="宋体" w:cs="Times New Roman"/>
          <w:sz w:val="24"/>
          <w:szCs w:val="24"/>
        </w:rPr>
        <w:t>其中男生389人，占28.32%；女生928人，占71.68%。</w:t>
      </w:r>
      <w:bookmarkStart w:id="175" w:name="PO_121"/>
      <w:bookmarkEnd w:id="175"/>
      <w:r>
        <w:rPr>
          <w:rFonts w:hint="eastAsia" w:ascii="Times New Roman" w:hAnsi="Times New Roman" w:eastAsia="宋体" w:cs="Times New Roman"/>
          <w:sz w:val="24"/>
          <w:szCs w:val="24"/>
        </w:rPr>
        <w:t>调受访毕业生平均年龄22.71岁（N=1317）；汉族1185人，占90%；少数民族132人，占10%。</w:t>
      </w:r>
      <w:bookmarkStart w:id="176" w:name="PO_141"/>
      <w:bookmarkEnd w:id="176"/>
    </w:p>
    <w:p>
      <w:pPr>
        <w:pStyle w:val="35"/>
        <w:ind w:firstLine="0" w:firstLineChars="0"/>
        <w:jc w:val="center"/>
      </w:pPr>
      <w:r>
        <w:drawing>
          <wp:inline distT="0" distB="0" distL="114300" distR="114300">
            <wp:extent cx="5273040" cy="1544320"/>
            <wp:effectExtent l="0" t="0" r="3810" b="1778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24"/>
                    <a:stretch>
                      <a:fillRect/>
                    </a:stretch>
                  </pic:blipFill>
                  <pic:spPr>
                    <a:xfrm>
                      <a:off x="0" y="0"/>
                      <a:ext cx="5273040" cy="1544320"/>
                    </a:xfrm>
                    <a:prstGeom prst="rect">
                      <a:avLst/>
                    </a:prstGeom>
                    <a:noFill/>
                    <a:ln w="9525">
                      <a:noFill/>
                    </a:ln>
                  </pic:spPr>
                </pic:pic>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图3-1 抽样调查的2017届毕业生基本情况1</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调查样本中，2.35%的毕业生政治面貌为中共党员或预备党员；94.46%为共青团员；3.19%为群众。</w:t>
      </w:r>
      <w:bookmarkStart w:id="177" w:name="PO_151"/>
      <w:bookmarkEnd w:id="177"/>
      <w:r>
        <w:rPr>
          <w:rFonts w:hint="eastAsia" w:ascii="Times New Roman" w:hAnsi="Times New Roman" w:eastAsia="宋体" w:cs="Times New Roman"/>
          <w:sz w:val="24"/>
          <w:szCs w:val="24"/>
        </w:rPr>
        <w:t>从参与调查的毕业生生源地来看，其中省内生源984人，占74.72%；省外生源333人，占25.28%。专科占18.22%；本科占81.78%。</w:t>
      </w:r>
    </w:p>
    <w:p>
      <w:pPr>
        <w:autoSpaceDE w:val="0"/>
        <w:spacing w:line="360" w:lineRule="auto"/>
        <w:ind w:firstLine="480" w:firstLineChars="200"/>
        <w:jc w:val="center"/>
        <w:rPr>
          <w:rFonts w:ascii="Times New Roman" w:hAnsi="Times New Roman" w:eastAsia="宋体" w:cs="Times New Roman"/>
          <w:sz w:val="24"/>
          <w:szCs w:val="24"/>
        </w:rPr>
      </w:pPr>
      <w:bookmarkStart w:id="178" w:name="_Toc14966"/>
      <w:bookmarkStart w:id="179" w:name="_Toc11352"/>
      <w:bookmarkStart w:id="180" w:name="_Toc501407237"/>
      <w:r>
        <w:rPr>
          <w:rFonts w:ascii="Times New Roman" w:hAnsi="Times New Roman" w:eastAsia="宋体" w:cs="Times New Roman"/>
          <w:sz w:val="24"/>
          <w:szCs w:val="24"/>
        </w:rPr>
        <w:drawing>
          <wp:inline distT="0" distB="0" distL="114300" distR="114300">
            <wp:extent cx="5271135" cy="1490980"/>
            <wp:effectExtent l="0" t="0" r="5715" b="1397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25"/>
                    <a:stretch>
                      <a:fillRect/>
                    </a:stretch>
                  </pic:blipFill>
                  <pic:spPr>
                    <a:xfrm>
                      <a:off x="0" y="0"/>
                      <a:ext cx="5271135" cy="1490980"/>
                    </a:xfrm>
                    <a:prstGeom prst="rect">
                      <a:avLst/>
                    </a:prstGeom>
                    <a:noFill/>
                    <a:ln w="9525">
                      <a:noFill/>
                    </a:ln>
                  </pic:spPr>
                </pic:pic>
              </a:graphicData>
            </a:graphic>
          </wp:inline>
        </w:drawing>
      </w:r>
      <w:bookmarkEnd w:id="178"/>
      <w:bookmarkEnd w:id="179"/>
      <w:bookmarkEnd w:id="180"/>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图3-2 抽样调查的2017届毕业生基本情况2</w:t>
      </w:r>
    </w:p>
    <w:p>
      <w:pPr>
        <w:pStyle w:val="4"/>
        <w:autoSpaceDE w:val="0"/>
        <w:spacing w:beforeLines="0" w:afterLines="0" w:line="312" w:lineRule="auto"/>
        <w:ind w:firstLine="0" w:firstLineChars="0"/>
        <w:jc w:val="both"/>
        <w:rPr>
          <w:rFonts w:eastAsia="黑体"/>
          <w:bCs w:val="0"/>
          <w:snapToGrid/>
          <w:sz w:val="28"/>
          <w:szCs w:val="28"/>
        </w:rPr>
      </w:pPr>
      <w:bookmarkStart w:id="181" w:name="_Toc501407845"/>
      <w:r>
        <w:rPr>
          <w:rFonts w:hint="eastAsia" w:eastAsia="黑体"/>
          <w:bCs w:val="0"/>
          <w:snapToGrid/>
          <w:sz w:val="28"/>
          <w:szCs w:val="28"/>
        </w:rPr>
        <w:t>（二）抽样调查的2017届毕业生学院和专业分布情况</w:t>
      </w:r>
      <w:bookmarkEnd w:id="181"/>
    </w:p>
    <w:p>
      <w:pPr>
        <w:pStyle w:val="33"/>
        <w:spacing w:before="180" w:after="180" w:afterLines="0" w:line="360" w:lineRule="auto"/>
        <w:ind w:firstLine="482" w:firstLineChars="200"/>
        <w:outlineLvl w:val="2"/>
        <w:rPr>
          <w:rFonts w:ascii="Times New Roman" w:hAnsi="Times New Roman" w:eastAsia="宋体"/>
          <w:sz w:val="24"/>
          <w:szCs w:val="24"/>
        </w:rPr>
      </w:pPr>
      <w:bookmarkStart w:id="182" w:name="_Toc501407846"/>
      <w:r>
        <w:rPr>
          <w:rFonts w:hint="eastAsia" w:ascii="Times New Roman" w:hAnsi="Times New Roman" w:eastAsia="宋体"/>
          <w:sz w:val="24"/>
          <w:szCs w:val="24"/>
        </w:rPr>
        <w:t>1. 抽样调查的2017届毕业生学院分布情况</w:t>
      </w:r>
      <w:bookmarkEnd w:id="182"/>
    </w:p>
    <w:p>
      <w:pPr>
        <w:autoSpaceDE w:val="0"/>
        <w:spacing w:line="360" w:lineRule="auto"/>
        <w:ind w:firstLine="480" w:firstLineChars="200"/>
        <w:rPr>
          <w:rFonts w:ascii="Times New Roman" w:hAnsi="Times New Roman" w:eastAsia="宋体" w:cs="Times New Roman"/>
          <w:sz w:val="24"/>
          <w:szCs w:val="24"/>
        </w:rPr>
      </w:pPr>
      <w:bookmarkStart w:id="183" w:name="PO_171"/>
      <w:bookmarkEnd w:id="183"/>
      <w:r>
        <w:rPr>
          <w:rFonts w:hint="eastAsia" w:ascii="Times New Roman" w:hAnsi="Times New Roman" w:eastAsia="宋体" w:cs="Times New Roman"/>
          <w:sz w:val="24"/>
          <w:szCs w:val="24"/>
        </w:rPr>
        <w:t>调查显示，抽样调查的毕业生人数最多的三个学院分别为影视艺术学院（443份）、新闻传播学院（357份）、艺术设计学院（153份），共占到有效样本总数的74.79%。</w:t>
      </w:r>
    </w:p>
    <w:p>
      <w:pPr>
        <w:jc w:val="center"/>
      </w:pPr>
      <w:bookmarkStart w:id="184" w:name="PO_172"/>
      <w:bookmarkEnd w:id="184"/>
      <w:r>
        <w:drawing>
          <wp:inline distT="0" distB="0" distL="0" distR="0">
            <wp:extent cx="5038090" cy="3152140"/>
            <wp:effectExtent l="4445" t="4445" r="5715" b="571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图3-3 抽样调查的2017届毕业生所在学院情况</w:t>
      </w:r>
      <w:bookmarkStart w:id="185" w:name="PO_181"/>
      <w:bookmarkEnd w:id="185"/>
    </w:p>
    <w:p>
      <w:pPr>
        <w:pStyle w:val="33"/>
        <w:spacing w:before="180" w:after="180" w:afterLines="0" w:line="360" w:lineRule="auto"/>
        <w:ind w:firstLine="482" w:firstLineChars="200"/>
        <w:outlineLvl w:val="2"/>
        <w:rPr>
          <w:rFonts w:ascii="Times New Roman" w:hAnsi="Times New Roman" w:eastAsia="宋体"/>
          <w:sz w:val="24"/>
          <w:szCs w:val="24"/>
        </w:rPr>
      </w:pPr>
      <w:bookmarkStart w:id="186" w:name="_Toc501407847"/>
      <w:r>
        <w:rPr>
          <w:rFonts w:hint="eastAsia" w:ascii="Times New Roman" w:hAnsi="Times New Roman" w:eastAsia="宋体"/>
          <w:sz w:val="24"/>
          <w:szCs w:val="24"/>
        </w:rPr>
        <w:t>2．抽样调查的2017届毕业生专业分布情况</w:t>
      </w:r>
      <w:bookmarkEnd w:id="186"/>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抽样调查的毕业生人数最多的三个专业分别为播音与主持艺术（279份）、广播电视编导（231份）、摄影（101份），共占到有效样本总数的46.39%。</w:t>
      </w:r>
    </w:p>
    <w:p>
      <w:pPr>
        <w:pStyle w:val="35"/>
        <w:ind w:firstLine="480"/>
      </w:pPr>
      <w:r>
        <w:drawing>
          <wp:inline distT="0" distB="0" distL="114300" distR="114300">
            <wp:extent cx="4768215" cy="3554095"/>
            <wp:effectExtent l="0" t="0" r="13335" b="825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27"/>
                    <a:stretch>
                      <a:fillRect/>
                    </a:stretch>
                  </pic:blipFill>
                  <pic:spPr>
                    <a:xfrm>
                      <a:off x="0" y="0"/>
                      <a:ext cx="4768215" cy="3554095"/>
                    </a:xfrm>
                    <a:prstGeom prst="rect">
                      <a:avLst/>
                    </a:prstGeom>
                    <a:noFill/>
                    <a:ln w="9525">
                      <a:noFill/>
                    </a:ln>
                  </pic:spPr>
                </pic:pic>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图3-4 抽样调查的2017届毕业生专业分布情况</w:t>
      </w:r>
    </w:p>
    <w:bookmarkEnd w:id="171"/>
    <w:p>
      <w:pPr>
        <w:pStyle w:val="3"/>
        <w:autoSpaceDE w:val="0"/>
        <w:spacing w:line="312" w:lineRule="auto"/>
        <w:rPr>
          <w:rFonts w:ascii="Times New Roman" w:hAnsi="Times New Roman" w:eastAsia="黑体" w:cs="Times New Roman"/>
        </w:rPr>
      </w:pPr>
      <w:bookmarkStart w:id="187" w:name="PO_182"/>
      <w:bookmarkEnd w:id="187"/>
      <w:bookmarkStart w:id="188" w:name="_Toc428959435"/>
      <w:bookmarkStart w:id="189" w:name="_Toc1028"/>
      <w:bookmarkStart w:id="190" w:name="_Toc491854122"/>
      <w:bookmarkStart w:id="191" w:name="_Toc501407848"/>
      <w:r>
        <w:rPr>
          <w:rFonts w:hint="eastAsia" w:ascii="Times New Roman" w:hAnsi="Times New Roman" w:eastAsia="黑体" w:cs="Times New Roman"/>
        </w:rPr>
        <w:t>二、抽样调查的2017届毕业生毕业去向</w:t>
      </w:r>
      <w:bookmarkEnd w:id="188"/>
      <w:bookmarkEnd w:id="189"/>
      <w:bookmarkEnd w:id="190"/>
      <w:bookmarkEnd w:id="191"/>
      <w:r>
        <w:rPr>
          <w:rFonts w:hint="eastAsia" w:ascii="Times New Roman" w:hAnsi="Times New Roman" w:eastAsia="黑体" w:cs="Times New Roman"/>
        </w:rPr>
        <w:t xml:space="preserve"> </w:t>
      </w:r>
    </w:p>
    <w:p>
      <w:pPr>
        <w:autoSpaceDE w:val="0"/>
        <w:spacing w:line="360" w:lineRule="auto"/>
        <w:ind w:firstLine="480" w:firstLineChars="200"/>
        <w:rPr>
          <w:rFonts w:ascii="Times New Roman" w:hAnsi="Times New Roman" w:eastAsia="宋体" w:cs="Times New Roman"/>
          <w:sz w:val="24"/>
          <w:szCs w:val="24"/>
        </w:rPr>
      </w:pPr>
      <w:bookmarkStart w:id="192" w:name="PO_191"/>
      <w:bookmarkEnd w:id="192"/>
      <w:r>
        <w:rPr>
          <w:rFonts w:hint="eastAsia" w:ascii="Times New Roman" w:hAnsi="Times New Roman" w:eastAsia="宋体" w:cs="Times New Roman"/>
          <w:sz w:val="24"/>
          <w:szCs w:val="24"/>
        </w:rPr>
        <w:t>从毕业去向来看，94.01%的毕业生已落实就业，其中1.67%的毕业生签署了三方协议，59.30%签订劳动合同，5.92%单位开具用人证明，14.81%选择了自由职业，1.06%当志愿者，0.53%参军入伍，4.63%选择了自主创业，5.47%选择了国内升学，0.61%选择了出国留学；同时还有5.99%的毕业生尚未落实就业。</w:t>
      </w:r>
    </w:p>
    <w:p>
      <w:pPr>
        <w:jc w:val="center"/>
      </w:pPr>
      <w:r>
        <w:drawing>
          <wp:inline distT="0" distB="0" distL="114300" distR="114300">
            <wp:extent cx="5016500" cy="2489200"/>
            <wp:effectExtent l="4445" t="4445" r="8255" b="20955"/>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图3-5 抽样调查的2017届毕业生去向分布</w:t>
      </w:r>
    </w:p>
    <w:p>
      <w:pPr>
        <w:pStyle w:val="3"/>
        <w:autoSpaceDE w:val="0"/>
        <w:spacing w:line="312" w:lineRule="auto"/>
        <w:rPr>
          <w:rFonts w:ascii="Times New Roman" w:hAnsi="Times New Roman" w:eastAsia="黑体" w:cs="Times New Roman"/>
        </w:rPr>
      </w:pPr>
      <w:bookmarkStart w:id="193" w:name="_Toc501407849"/>
      <w:bookmarkStart w:id="194" w:name="_Toc24837"/>
      <w:bookmarkStart w:id="195" w:name="_Toc428959437"/>
      <w:bookmarkStart w:id="196" w:name="_Toc491854124"/>
      <w:r>
        <w:rPr>
          <w:rFonts w:hint="eastAsia" w:ascii="Times New Roman" w:hAnsi="Times New Roman" w:eastAsia="黑体" w:cs="Times New Roman"/>
        </w:rPr>
        <w:t>三、抽样调查的2017届毕业生对专业的选择和认可度</w:t>
      </w:r>
      <w:bookmarkEnd w:id="193"/>
      <w:bookmarkEnd w:id="194"/>
    </w:p>
    <w:p>
      <w:pPr>
        <w:pStyle w:val="4"/>
        <w:autoSpaceDE w:val="0"/>
        <w:spacing w:beforeLines="0" w:afterLines="0" w:line="312" w:lineRule="auto"/>
        <w:ind w:firstLine="0" w:firstLineChars="0"/>
        <w:jc w:val="both"/>
        <w:rPr>
          <w:rFonts w:eastAsia="黑体"/>
          <w:bCs w:val="0"/>
          <w:snapToGrid/>
          <w:sz w:val="28"/>
          <w:szCs w:val="28"/>
        </w:rPr>
      </w:pPr>
      <w:bookmarkStart w:id="197" w:name="_Toc501407850"/>
      <w:r>
        <w:rPr>
          <w:rFonts w:hint="eastAsia" w:eastAsia="黑体"/>
          <w:bCs w:val="0"/>
          <w:snapToGrid/>
          <w:sz w:val="28"/>
          <w:szCs w:val="28"/>
        </w:rPr>
        <w:t>（一）抽样调查的2017届毕业生对专业的选择</w:t>
      </w:r>
      <w:bookmarkEnd w:id="197"/>
    </w:p>
    <w:p>
      <w:pPr>
        <w:pStyle w:val="33"/>
        <w:spacing w:before="180" w:after="180" w:afterLines="0" w:line="360" w:lineRule="auto"/>
        <w:ind w:firstLine="482" w:firstLineChars="200"/>
        <w:outlineLvl w:val="2"/>
        <w:rPr>
          <w:rFonts w:ascii="Times New Roman" w:hAnsi="Times New Roman" w:eastAsia="宋体"/>
          <w:sz w:val="24"/>
          <w:szCs w:val="24"/>
        </w:rPr>
      </w:pPr>
      <w:bookmarkStart w:id="198" w:name="_Toc1035"/>
      <w:bookmarkStart w:id="199" w:name="_Toc501407851"/>
      <w:r>
        <w:rPr>
          <w:rFonts w:hint="eastAsia" w:ascii="Times New Roman" w:hAnsi="Times New Roman" w:eastAsia="宋体"/>
          <w:sz w:val="24"/>
          <w:szCs w:val="24"/>
        </w:rPr>
        <w:t>1．</w:t>
      </w:r>
      <w:bookmarkEnd w:id="195"/>
      <w:r>
        <w:rPr>
          <w:rFonts w:hint="eastAsia" w:ascii="Times New Roman" w:hAnsi="Times New Roman" w:eastAsia="宋体"/>
          <w:sz w:val="24"/>
          <w:szCs w:val="24"/>
        </w:rPr>
        <w:t>抽样调查的2017届毕业生选择专业的方式</w:t>
      </w:r>
      <w:bookmarkEnd w:id="196"/>
      <w:bookmarkEnd w:id="198"/>
      <w:bookmarkEnd w:id="199"/>
      <w:r>
        <w:rPr>
          <w:rFonts w:hint="eastAsia" w:ascii="Times New Roman" w:hAnsi="Times New Roman" w:eastAsia="宋体"/>
          <w:sz w:val="24"/>
          <w:szCs w:val="24"/>
        </w:rPr>
        <w:t xml:space="preserve"> </w:t>
      </w:r>
    </w:p>
    <w:p>
      <w:pPr>
        <w:autoSpaceDE w:val="0"/>
        <w:spacing w:line="360" w:lineRule="auto"/>
        <w:ind w:firstLine="480" w:firstLineChars="200"/>
        <w:rPr>
          <w:rFonts w:ascii="Times New Roman" w:hAnsi="Times New Roman" w:eastAsia="宋体" w:cs="Times New Roman"/>
          <w:sz w:val="24"/>
          <w:szCs w:val="24"/>
        </w:rPr>
      </w:pPr>
      <w:bookmarkStart w:id="200" w:name="PO_211"/>
      <w:bookmarkEnd w:id="200"/>
      <w:r>
        <w:rPr>
          <w:rFonts w:hint="eastAsia" w:ascii="Times New Roman" w:hAnsi="Times New Roman" w:eastAsia="宋体" w:cs="Times New Roman"/>
          <w:sz w:val="24"/>
          <w:szCs w:val="24"/>
        </w:rPr>
        <w:t>从受访毕业生选择专业的方式上看80.49%的毕业生是“自主选择”，8.73%的人是“听从父母意见”，5.24%是“他人推荐”的，3.26%通过“调剂”就读现在专业，2.28%通过“其他方式”。</w:t>
      </w:r>
    </w:p>
    <w:p>
      <w:pPr>
        <w:jc w:val="center"/>
      </w:pPr>
      <w:bookmarkStart w:id="201" w:name="PO_212"/>
      <w:bookmarkEnd w:id="201"/>
      <w:r>
        <w:drawing>
          <wp:inline distT="0" distB="0" distL="114300" distR="114300">
            <wp:extent cx="3956050" cy="1972945"/>
            <wp:effectExtent l="4445" t="4445" r="20955" b="22860"/>
            <wp:docPr id="1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图3-6 抽样调查的2017届毕业生选择专业的方式</w:t>
      </w:r>
    </w:p>
    <w:p>
      <w:pPr>
        <w:pStyle w:val="33"/>
        <w:spacing w:before="180" w:after="180" w:afterLines="0" w:line="360" w:lineRule="auto"/>
        <w:ind w:firstLine="482" w:firstLineChars="200"/>
        <w:outlineLvl w:val="2"/>
        <w:rPr>
          <w:rFonts w:ascii="Times New Roman" w:hAnsi="Times New Roman" w:eastAsia="宋体"/>
          <w:sz w:val="24"/>
          <w:szCs w:val="24"/>
        </w:rPr>
      </w:pPr>
      <w:bookmarkStart w:id="202" w:name="_Toc428959438"/>
      <w:bookmarkStart w:id="203" w:name="_Toc6667"/>
      <w:bookmarkStart w:id="204" w:name="_Toc501407852"/>
      <w:bookmarkStart w:id="205" w:name="_Toc491854125"/>
      <w:r>
        <w:rPr>
          <w:rFonts w:hint="eastAsia" w:ascii="Times New Roman" w:hAnsi="Times New Roman" w:eastAsia="宋体"/>
          <w:sz w:val="24"/>
          <w:szCs w:val="24"/>
        </w:rPr>
        <w:t>2．</w:t>
      </w:r>
      <w:bookmarkEnd w:id="202"/>
      <w:r>
        <w:rPr>
          <w:rFonts w:hint="eastAsia" w:ascii="Times New Roman" w:hAnsi="Times New Roman" w:eastAsia="宋体"/>
          <w:sz w:val="24"/>
          <w:szCs w:val="24"/>
        </w:rPr>
        <w:t>抽样调查的2017届毕业生对待本专业的态度</w:t>
      </w:r>
      <w:bookmarkEnd w:id="203"/>
      <w:bookmarkEnd w:id="204"/>
      <w:bookmarkEnd w:id="205"/>
    </w:p>
    <w:p>
      <w:pPr>
        <w:autoSpaceDE w:val="0"/>
        <w:spacing w:line="360" w:lineRule="auto"/>
        <w:ind w:firstLine="480" w:firstLineChars="200"/>
        <w:rPr>
          <w:rFonts w:ascii="Times New Roman" w:hAnsi="Times New Roman" w:eastAsia="宋体" w:cs="Times New Roman"/>
          <w:sz w:val="24"/>
          <w:szCs w:val="24"/>
        </w:rPr>
      </w:pPr>
      <w:bookmarkStart w:id="206" w:name="PO_221"/>
      <w:bookmarkEnd w:id="206"/>
      <w:r>
        <w:rPr>
          <w:rFonts w:hint="eastAsia" w:ascii="Times New Roman" w:hAnsi="Times New Roman" w:eastAsia="宋体" w:cs="Times New Roman"/>
          <w:sz w:val="24"/>
          <w:szCs w:val="24"/>
        </w:rPr>
        <w:t>从受访毕业生对待专业的态度上看，29.01%的毕业生表示“很喜欢”本专业，45.18%表示“喜欢”本专业，认为“不好说”的有22.85%，1.97%的毕业生“不喜欢”本专业，0.99%的人表示“很不喜欢”本专业。</w:t>
      </w:r>
    </w:p>
    <w:p>
      <w:pPr>
        <w:jc w:val="center"/>
      </w:pPr>
      <w:bookmarkStart w:id="207" w:name="PO_222"/>
      <w:bookmarkEnd w:id="207"/>
      <w:r>
        <w:drawing>
          <wp:inline distT="0" distB="0" distL="114300" distR="114300">
            <wp:extent cx="3886200" cy="1885950"/>
            <wp:effectExtent l="0" t="0" r="19050" b="19050"/>
            <wp:docPr id="1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图3-7 抽样调查的2017届毕业生对待本专业的态度</w:t>
      </w:r>
    </w:p>
    <w:p>
      <w:pPr>
        <w:pStyle w:val="33"/>
        <w:spacing w:before="180" w:after="180" w:afterLines="0" w:line="360" w:lineRule="auto"/>
        <w:ind w:firstLine="482" w:firstLineChars="200"/>
        <w:outlineLvl w:val="2"/>
        <w:rPr>
          <w:rFonts w:ascii="Times New Roman" w:hAnsi="Times New Roman" w:eastAsia="宋体"/>
          <w:sz w:val="24"/>
          <w:szCs w:val="24"/>
        </w:rPr>
      </w:pPr>
      <w:bookmarkStart w:id="208" w:name="_Toc428959439"/>
      <w:bookmarkStart w:id="209" w:name="_Toc491854126"/>
      <w:bookmarkStart w:id="210" w:name="_Toc4930"/>
      <w:bookmarkStart w:id="211" w:name="_Toc501407853"/>
      <w:r>
        <w:rPr>
          <w:rFonts w:hint="eastAsia" w:ascii="Times New Roman" w:hAnsi="Times New Roman" w:eastAsia="宋体"/>
          <w:sz w:val="24"/>
          <w:szCs w:val="24"/>
        </w:rPr>
        <w:t>3．</w:t>
      </w:r>
      <w:bookmarkEnd w:id="208"/>
      <w:r>
        <w:rPr>
          <w:rFonts w:hint="eastAsia" w:ascii="Times New Roman" w:hAnsi="Times New Roman" w:eastAsia="宋体"/>
          <w:sz w:val="24"/>
          <w:szCs w:val="24"/>
        </w:rPr>
        <w:t>抽样调查的2017届毕业生从事与本专业相关工作的意愿</w:t>
      </w:r>
      <w:bookmarkEnd w:id="209"/>
      <w:bookmarkEnd w:id="210"/>
      <w:bookmarkEnd w:id="211"/>
      <w:r>
        <w:rPr>
          <w:rFonts w:hint="eastAsia" w:ascii="Times New Roman" w:hAnsi="Times New Roman" w:eastAsia="宋体"/>
          <w:sz w:val="24"/>
          <w:szCs w:val="24"/>
        </w:rPr>
        <w:t xml:space="preserve"> </w:t>
      </w:r>
    </w:p>
    <w:p>
      <w:pPr>
        <w:autoSpaceDE w:val="0"/>
        <w:spacing w:line="360" w:lineRule="auto"/>
        <w:ind w:firstLine="480" w:firstLineChars="200"/>
        <w:rPr>
          <w:rFonts w:ascii="Times New Roman" w:hAnsi="Times New Roman" w:eastAsia="宋体" w:cs="Times New Roman"/>
          <w:sz w:val="24"/>
          <w:szCs w:val="24"/>
        </w:rPr>
      </w:pPr>
      <w:bookmarkStart w:id="212" w:name="PO_231"/>
      <w:bookmarkEnd w:id="212"/>
      <w:r>
        <w:rPr>
          <w:rFonts w:hint="eastAsia" w:ascii="Times New Roman" w:hAnsi="Times New Roman" w:eastAsia="宋体" w:cs="Times New Roman"/>
          <w:sz w:val="24"/>
          <w:szCs w:val="24"/>
        </w:rPr>
        <w:t>当问及毕业生是否愿意从事与专业相关的工作时，28.47%的毕业生表示“很愿意”，45.56%表示“愿意”，认为“不好说”的有23.16%，1.90%表示“不愿意”，0.91%表示“很不愿意”。</w:t>
      </w:r>
    </w:p>
    <w:p>
      <w:pPr>
        <w:jc w:val="center"/>
      </w:pPr>
      <w:bookmarkStart w:id="213" w:name="PO_232"/>
      <w:bookmarkEnd w:id="213"/>
      <w:r>
        <w:drawing>
          <wp:inline distT="0" distB="0" distL="114300" distR="114300">
            <wp:extent cx="3942080" cy="2090420"/>
            <wp:effectExtent l="4445" t="4445" r="15875" b="19685"/>
            <wp:docPr id="1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图3-8 抽样调查的2017届毕业生从事与本专业相关工作的意愿</w:t>
      </w:r>
    </w:p>
    <w:p>
      <w:pPr>
        <w:pStyle w:val="4"/>
        <w:autoSpaceDE w:val="0"/>
        <w:spacing w:beforeLines="0" w:afterLines="0" w:line="312" w:lineRule="auto"/>
        <w:ind w:firstLine="0" w:firstLineChars="0"/>
        <w:jc w:val="both"/>
        <w:rPr>
          <w:rFonts w:eastAsia="黑体"/>
          <w:bCs w:val="0"/>
          <w:snapToGrid/>
          <w:sz w:val="28"/>
          <w:szCs w:val="28"/>
        </w:rPr>
      </w:pPr>
      <w:bookmarkStart w:id="214" w:name="_Toc428959440"/>
      <w:bookmarkStart w:id="215" w:name="_Toc501407854"/>
      <w:bookmarkStart w:id="216" w:name="_Toc3243"/>
      <w:bookmarkStart w:id="217" w:name="_Toc491854127"/>
      <w:r>
        <w:rPr>
          <w:rFonts w:hint="eastAsia" w:eastAsia="黑体"/>
          <w:bCs w:val="0"/>
          <w:snapToGrid/>
          <w:sz w:val="28"/>
          <w:szCs w:val="28"/>
        </w:rPr>
        <w:t>（二）抽样调查的2017届毕业生对本专业</w:t>
      </w:r>
      <w:bookmarkEnd w:id="214"/>
      <w:r>
        <w:rPr>
          <w:rFonts w:hint="eastAsia" w:eastAsia="黑体"/>
          <w:bCs w:val="0"/>
          <w:snapToGrid/>
          <w:sz w:val="28"/>
          <w:szCs w:val="28"/>
        </w:rPr>
        <w:t>情况的评价</w:t>
      </w:r>
      <w:bookmarkEnd w:id="215"/>
    </w:p>
    <w:p>
      <w:pPr>
        <w:pStyle w:val="33"/>
        <w:spacing w:before="180" w:after="180" w:afterLines="0" w:line="360" w:lineRule="auto"/>
        <w:ind w:firstLine="482" w:firstLineChars="200"/>
        <w:outlineLvl w:val="2"/>
        <w:rPr>
          <w:rFonts w:ascii="Times New Roman" w:hAnsi="Times New Roman" w:eastAsia="宋体"/>
          <w:sz w:val="24"/>
          <w:szCs w:val="24"/>
        </w:rPr>
      </w:pPr>
      <w:bookmarkStart w:id="218" w:name="_Toc501407855"/>
      <w:r>
        <w:rPr>
          <w:rFonts w:hint="eastAsia" w:ascii="Times New Roman" w:hAnsi="Times New Roman" w:eastAsia="宋体"/>
          <w:sz w:val="24"/>
          <w:szCs w:val="24"/>
        </w:rPr>
        <w:t>1．抽样调查的2017届毕业生对本专业课程设置的满意程度</w:t>
      </w:r>
      <w:bookmarkEnd w:id="216"/>
      <w:bookmarkEnd w:id="217"/>
      <w:bookmarkEnd w:id="218"/>
    </w:p>
    <w:p>
      <w:pPr>
        <w:autoSpaceDE w:val="0"/>
        <w:spacing w:line="360" w:lineRule="auto"/>
        <w:ind w:firstLine="480" w:firstLineChars="200"/>
        <w:rPr>
          <w:rFonts w:ascii="Times New Roman" w:hAnsi="Times New Roman" w:eastAsia="宋体" w:cs="Times New Roman"/>
          <w:sz w:val="24"/>
          <w:szCs w:val="24"/>
        </w:rPr>
      </w:pPr>
      <w:bookmarkStart w:id="219" w:name="PO_241"/>
      <w:bookmarkEnd w:id="219"/>
      <w:r>
        <w:rPr>
          <w:rFonts w:hint="eastAsia" w:ascii="Times New Roman" w:hAnsi="Times New Roman" w:eastAsia="宋体" w:cs="Times New Roman"/>
          <w:sz w:val="24"/>
          <w:szCs w:val="24"/>
        </w:rPr>
        <w:t>在对专业课程设置的满意度上，24.37%的毕业生表示“很满意”，48.67%表示“满意”，认为“不好说”的有23.16%，2.28%表示“不满意”，1.52%表示“很不满意”。</w:t>
      </w:r>
    </w:p>
    <w:p>
      <w:pPr>
        <w:jc w:val="center"/>
      </w:pPr>
      <w:r>
        <w:drawing>
          <wp:inline distT="0" distB="0" distL="114300" distR="114300">
            <wp:extent cx="4161155" cy="2148205"/>
            <wp:effectExtent l="4445" t="4445" r="6350" b="19050"/>
            <wp:docPr id="1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图3-9 抽样调查的2017届毕业生对本专业课程设置的满意程度</w:t>
      </w:r>
    </w:p>
    <w:p>
      <w:pPr>
        <w:pStyle w:val="33"/>
        <w:spacing w:before="180" w:after="180" w:afterLines="0" w:line="360" w:lineRule="auto"/>
        <w:ind w:firstLine="482" w:firstLineChars="200"/>
        <w:outlineLvl w:val="2"/>
        <w:rPr>
          <w:rFonts w:ascii="Times New Roman" w:hAnsi="Times New Roman" w:eastAsia="宋体"/>
          <w:sz w:val="24"/>
          <w:szCs w:val="24"/>
        </w:rPr>
      </w:pPr>
      <w:bookmarkStart w:id="220" w:name="_Toc27957"/>
      <w:bookmarkStart w:id="221" w:name="_Toc501407856"/>
      <w:bookmarkStart w:id="222" w:name="_Toc491854128"/>
      <w:r>
        <w:rPr>
          <w:rFonts w:hint="eastAsia" w:ascii="Times New Roman" w:hAnsi="Times New Roman" w:eastAsia="宋体"/>
          <w:sz w:val="24"/>
          <w:szCs w:val="24"/>
        </w:rPr>
        <w:t>2．抽样调查的2017届毕业生对专业课教师授课水平的满意程度</w:t>
      </w:r>
      <w:bookmarkEnd w:id="220"/>
      <w:bookmarkEnd w:id="221"/>
      <w:bookmarkEnd w:id="222"/>
    </w:p>
    <w:p>
      <w:pPr>
        <w:autoSpaceDE w:val="0"/>
        <w:spacing w:line="360" w:lineRule="auto"/>
        <w:ind w:firstLine="480" w:firstLineChars="200"/>
        <w:rPr>
          <w:rFonts w:ascii="Times New Roman" w:hAnsi="Times New Roman" w:eastAsia="宋体" w:cs="Times New Roman"/>
          <w:sz w:val="24"/>
          <w:szCs w:val="24"/>
        </w:rPr>
      </w:pPr>
      <w:bookmarkStart w:id="223" w:name="PO_251"/>
      <w:bookmarkEnd w:id="223"/>
      <w:r>
        <w:rPr>
          <w:rFonts w:hint="eastAsia" w:ascii="Times New Roman" w:hAnsi="Times New Roman" w:eastAsia="宋体" w:cs="Times New Roman"/>
          <w:sz w:val="24"/>
          <w:szCs w:val="24"/>
        </w:rPr>
        <w:t>在对专业课教师授课水平的满意程度上，24.22%的毕业生表示“很满意”，48.97%表示“满意”，认为“不好说”的有23.46%，2.20%表示“不满意”，1.14%表示“很不满意”。</w:t>
      </w:r>
    </w:p>
    <w:p>
      <w:pPr>
        <w:jc w:val="center"/>
      </w:pPr>
      <w:bookmarkStart w:id="224" w:name="PO_252"/>
      <w:bookmarkEnd w:id="224"/>
    </w:p>
    <w:p>
      <w:pPr>
        <w:jc w:val="center"/>
      </w:pPr>
      <w:r>
        <w:drawing>
          <wp:inline distT="0" distB="0" distL="114300" distR="114300">
            <wp:extent cx="3981450" cy="2134870"/>
            <wp:effectExtent l="4445" t="4445" r="14605" b="13335"/>
            <wp:docPr id="1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图3-10 抽样调查的2017届毕业生对专业课教师授课水平的满意程度</w:t>
      </w:r>
    </w:p>
    <w:p>
      <w:pPr>
        <w:pStyle w:val="33"/>
        <w:spacing w:before="180" w:after="180" w:afterLines="0" w:line="360" w:lineRule="auto"/>
        <w:ind w:firstLine="482" w:firstLineChars="200"/>
        <w:outlineLvl w:val="2"/>
        <w:rPr>
          <w:rFonts w:ascii="Times New Roman" w:hAnsi="Times New Roman" w:eastAsia="宋体"/>
          <w:sz w:val="24"/>
          <w:szCs w:val="24"/>
        </w:rPr>
      </w:pPr>
      <w:bookmarkStart w:id="225" w:name="_Toc491854129"/>
      <w:bookmarkStart w:id="226" w:name="_Toc12662"/>
      <w:bookmarkStart w:id="227" w:name="_Toc501407857"/>
      <w:r>
        <w:rPr>
          <w:rFonts w:hint="eastAsia" w:ascii="Times New Roman" w:hAnsi="Times New Roman" w:eastAsia="宋体"/>
          <w:sz w:val="24"/>
          <w:szCs w:val="24"/>
        </w:rPr>
        <w:t>3．抽样调查的2017届毕业生所学专业知识满足工作需要的程度</w:t>
      </w:r>
      <w:bookmarkEnd w:id="225"/>
      <w:bookmarkEnd w:id="226"/>
      <w:bookmarkEnd w:id="227"/>
    </w:p>
    <w:p>
      <w:pPr>
        <w:autoSpaceDE w:val="0"/>
        <w:spacing w:line="360" w:lineRule="auto"/>
        <w:ind w:firstLine="480" w:firstLineChars="200"/>
        <w:rPr>
          <w:rFonts w:ascii="Times New Roman" w:hAnsi="Times New Roman" w:eastAsia="宋体" w:cs="Times New Roman"/>
          <w:sz w:val="24"/>
          <w:szCs w:val="24"/>
        </w:rPr>
      </w:pPr>
      <w:bookmarkStart w:id="228" w:name="PO_261"/>
      <w:bookmarkEnd w:id="228"/>
      <w:r>
        <w:rPr>
          <w:rFonts w:hint="eastAsia" w:ascii="Times New Roman" w:hAnsi="Times New Roman" w:eastAsia="宋体" w:cs="Times New Roman"/>
          <w:sz w:val="24"/>
          <w:szCs w:val="24"/>
        </w:rPr>
        <w:t>若从事与专业相关的工作，22.78%的毕业生认为所学专业知识很多都是满足工作需要的，24.78%认为所学专业知识多是满足工作需要的，23.46%表示不好说，15.19%认为所学专业知识少部分满足工作需要，3.80%认为所学专业知识很少满足工作需要。</w:t>
      </w:r>
    </w:p>
    <w:p>
      <w:pPr>
        <w:jc w:val="center"/>
      </w:pPr>
      <w:r>
        <w:drawing>
          <wp:inline distT="0" distB="0" distL="114300" distR="114300">
            <wp:extent cx="4119880" cy="2211705"/>
            <wp:effectExtent l="5080" t="5080" r="8890" b="12065"/>
            <wp:docPr id="2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图3-11 抽样调查的2017届毕业生对</w:t>
      </w:r>
      <w:bookmarkStart w:id="229" w:name="_Toc3715"/>
      <w:bookmarkStart w:id="230" w:name="_Toc491854130"/>
      <w:r>
        <w:rPr>
          <w:rFonts w:hint="eastAsia" w:ascii="Times New Roman" w:hAnsi="Times New Roman" w:eastAsia="宋体" w:cs="Times New Roman"/>
          <w:snapToGrid w:val="0"/>
          <w:sz w:val="24"/>
          <w:szCs w:val="24"/>
        </w:rPr>
        <w:t>所学专业知识满足工作需要的程度</w:t>
      </w:r>
    </w:p>
    <w:p>
      <w:pPr>
        <w:pStyle w:val="33"/>
        <w:spacing w:before="180" w:after="180" w:afterLines="0" w:line="360" w:lineRule="auto"/>
        <w:ind w:firstLine="482" w:firstLineChars="200"/>
        <w:outlineLvl w:val="2"/>
        <w:rPr>
          <w:rFonts w:ascii="Times New Roman" w:hAnsi="Times New Roman" w:eastAsia="宋体"/>
          <w:sz w:val="24"/>
          <w:szCs w:val="24"/>
        </w:rPr>
      </w:pPr>
      <w:bookmarkStart w:id="231" w:name="_Toc501407858"/>
      <w:r>
        <w:rPr>
          <w:rFonts w:hint="eastAsia" w:ascii="Times New Roman" w:hAnsi="Times New Roman" w:eastAsia="宋体"/>
          <w:sz w:val="24"/>
          <w:szCs w:val="24"/>
        </w:rPr>
        <w:t>4．抽样调查的2017届毕业生所学专业技能满足工作需要的程度</w:t>
      </w:r>
      <w:bookmarkEnd w:id="229"/>
      <w:bookmarkEnd w:id="230"/>
      <w:bookmarkEnd w:id="231"/>
    </w:p>
    <w:p>
      <w:pPr>
        <w:autoSpaceDE w:val="0"/>
        <w:spacing w:line="360" w:lineRule="auto"/>
        <w:ind w:firstLine="480" w:firstLineChars="200"/>
        <w:rPr>
          <w:rFonts w:ascii="Times New Roman" w:hAnsi="Times New Roman" w:eastAsia="宋体" w:cs="Times New Roman"/>
          <w:sz w:val="24"/>
          <w:szCs w:val="24"/>
        </w:rPr>
      </w:pPr>
      <w:bookmarkStart w:id="232" w:name="PO_271"/>
      <w:bookmarkEnd w:id="232"/>
      <w:r>
        <w:rPr>
          <w:rFonts w:hint="eastAsia" w:ascii="Times New Roman" w:hAnsi="Times New Roman" w:eastAsia="宋体" w:cs="Times New Roman"/>
          <w:sz w:val="24"/>
          <w:szCs w:val="24"/>
        </w:rPr>
        <w:t>若从事与专业相关的工作，23.61%的毕业生认为所学专业技能很多都是满足工作需要的，34.78%认为所学专业技能多是满足工作需要的，24.53%表示不好说，14.81%认为所学专业技能少部分满足工作需要，2.28%认为所学专业技能很少满足工作需要。</w:t>
      </w:r>
    </w:p>
    <w:p>
      <w:pPr>
        <w:jc w:val="center"/>
      </w:pPr>
      <w:bookmarkStart w:id="233" w:name="PO_272"/>
      <w:bookmarkEnd w:id="233"/>
      <w:r>
        <w:drawing>
          <wp:inline distT="0" distB="0" distL="114300" distR="114300">
            <wp:extent cx="3875405" cy="2181225"/>
            <wp:effectExtent l="4445" t="4445" r="6350" b="5080"/>
            <wp:docPr id="2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图3-12 抽样调查的2017届毕业生对所学专业技能满足工作需要的程度</w:t>
      </w:r>
    </w:p>
    <w:p>
      <w:pPr>
        <w:pStyle w:val="33"/>
        <w:spacing w:before="180" w:after="180" w:afterLines="0" w:line="360" w:lineRule="auto"/>
        <w:ind w:firstLine="482" w:firstLineChars="200"/>
        <w:outlineLvl w:val="2"/>
        <w:rPr>
          <w:rFonts w:ascii="Times New Roman" w:hAnsi="Times New Roman" w:eastAsia="宋体"/>
          <w:sz w:val="24"/>
          <w:szCs w:val="24"/>
        </w:rPr>
      </w:pPr>
      <w:bookmarkStart w:id="234" w:name="_Toc428959444"/>
      <w:bookmarkStart w:id="235" w:name="_Toc501407859"/>
      <w:bookmarkStart w:id="236" w:name="_Toc10142"/>
      <w:bookmarkStart w:id="237" w:name="_Toc491854131"/>
      <w:r>
        <w:rPr>
          <w:rFonts w:hint="eastAsia" w:ascii="Times New Roman" w:hAnsi="Times New Roman" w:eastAsia="宋体"/>
          <w:sz w:val="24"/>
          <w:szCs w:val="24"/>
        </w:rPr>
        <w:t>5．</w:t>
      </w:r>
      <w:bookmarkEnd w:id="234"/>
      <w:r>
        <w:rPr>
          <w:rFonts w:hint="eastAsia" w:ascii="Times New Roman" w:hAnsi="Times New Roman" w:eastAsia="宋体"/>
          <w:sz w:val="24"/>
          <w:szCs w:val="24"/>
        </w:rPr>
        <w:t>抽样调查的2017届毕业生所学专业的社会需求程度</w:t>
      </w:r>
      <w:bookmarkEnd w:id="235"/>
      <w:bookmarkEnd w:id="236"/>
      <w:bookmarkEnd w:id="237"/>
    </w:p>
    <w:p>
      <w:pPr>
        <w:autoSpaceDE w:val="0"/>
        <w:spacing w:line="360" w:lineRule="auto"/>
        <w:ind w:firstLine="480" w:firstLineChars="200"/>
        <w:rPr>
          <w:rFonts w:ascii="Times New Roman" w:hAnsi="Times New Roman" w:eastAsia="宋体" w:cs="Times New Roman"/>
          <w:sz w:val="24"/>
          <w:szCs w:val="24"/>
        </w:rPr>
      </w:pPr>
      <w:bookmarkStart w:id="238" w:name="PO_281"/>
      <w:bookmarkEnd w:id="238"/>
      <w:bookmarkStart w:id="239" w:name="_Toc428959467"/>
      <w:r>
        <w:rPr>
          <w:rFonts w:hint="eastAsia" w:ascii="Times New Roman" w:hAnsi="Times New Roman" w:eastAsia="宋体" w:cs="Times New Roman"/>
          <w:sz w:val="24"/>
          <w:szCs w:val="24"/>
        </w:rPr>
        <w:t>从所学专业的社会需求程度上看，19.67%的毕业生认为所学专业有很高的社会需求，42.37%认为所学专业的社会需求程度高，28.85%表示不好说，7.21%认为所学专业的社会需求程度低，1.90%认为所学专业有很低的社会需求。</w:t>
      </w:r>
    </w:p>
    <w:p>
      <w:pPr>
        <w:jc w:val="center"/>
      </w:pPr>
      <w:bookmarkStart w:id="240" w:name="PO_282"/>
      <w:bookmarkEnd w:id="240"/>
      <w:r>
        <w:drawing>
          <wp:inline distT="0" distB="0" distL="114300" distR="114300">
            <wp:extent cx="3781425" cy="2265045"/>
            <wp:effectExtent l="4445" t="4445" r="5080" b="16510"/>
            <wp:docPr id="22"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图3-13 抽样调查的2017届毕业生对所学专业的社会需求程度</w:t>
      </w:r>
    </w:p>
    <w:p>
      <w:pPr>
        <w:pStyle w:val="33"/>
        <w:spacing w:before="180" w:after="180" w:afterLines="0" w:line="360" w:lineRule="auto"/>
        <w:ind w:firstLine="482" w:firstLineChars="200"/>
        <w:outlineLvl w:val="2"/>
        <w:rPr>
          <w:rFonts w:ascii="Times New Roman" w:hAnsi="Times New Roman" w:eastAsia="宋体"/>
          <w:sz w:val="24"/>
          <w:szCs w:val="24"/>
        </w:rPr>
      </w:pPr>
      <w:bookmarkStart w:id="241" w:name="_Toc635"/>
      <w:bookmarkStart w:id="242" w:name="_Toc501407860"/>
      <w:bookmarkStart w:id="243" w:name="_Toc491854132"/>
      <w:r>
        <w:rPr>
          <w:rFonts w:hint="eastAsia" w:ascii="Times New Roman" w:hAnsi="Times New Roman" w:eastAsia="宋体"/>
          <w:sz w:val="24"/>
          <w:szCs w:val="24"/>
        </w:rPr>
        <w:t>6．抽样调查的2017届毕业生能力训练满足实际工作的程度</w:t>
      </w:r>
      <w:bookmarkEnd w:id="241"/>
      <w:bookmarkEnd w:id="242"/>
      <w:bookmarkEnd w:id="243"/>
    </w:p>
    <w:p>
      <w:pPr>
        <w:autoSpaceDE w:val="0"/>
        <w:spacing w:line="360" w:lineRule="auto"/>
        <w:ind w:firstLine="480" w:firstLineChars="200"/>
        <w:rPr>
          <w:rFonts w:ascii="Times New Roman" w:hAnsi="Times New Roman" w:eastAsia="宋体" w:cs="Times New Roman"/>
          <w:sz w:val="24"/>
          <w:szCs w:val="24"/>
        </w:rPr>
      </w:pPr>
      <w:bookmarkStart w:id="244" w:name="PO_291"/>
      <w:bookmarkEnd w:id="244"/>
      <w:r>
        <w:rPr>
          <w:rFonts w:hint="eastAsia" w:ascii="Times New Roman" w:hAnsi="Times New Roman" w:eastAsia="宋体" w:cs="Times New Roman"/>
          <w:sz w:val="24"/>
          <w:szCs w:val="24"/>
        </w:rPr>
        <w:t>从能力训练满足实际工作的程度来看，毕业生反馈最能满足实际工作要求的五种能力训练分别是：自我管理能力、沟通与表达能力、执行能力、职业适应能力、学习能力。</w:t>
      </w:r>
    </w:p>
    <w:p>
      <w:pPr>
        <w:autoSpaceDE w:val="0"/>
        <w:spacing w:before="156" w:beforeLines="50" w:after="156" w:afterLines="50" w:line="312" w:lineRule="auto"/>
        <w:jc w:val="center"/>
        <w:rPr>
          <w:rFonts w:ascii="Times New Roman" w:hAnsi="Times New Roman" w:eastAsia="宋体" w:cs="Times New Roman"/>
          <w:snapToGrid w:val="0"/>
          <w:sz w:val="24"/>
          <w:szCs w:val="24"/>
        </w:rPr>
      </w:pPr>
      <w:bookmarkStart w:id="245" w:name="PO_292"/>
      <w:bookmarkEnd w:id="245"/>
      <w:bookmarkStart w:id="246" w:name="PO_293"/>
      <w:bookmarkEnd w:id="246"/>
      <w:r>
        <w:rPr>
          <w:rFonts w:hint="eastAsia" w:ascii="Times New Roman" w:hAnsi="Times New Roman" w:eastAsia="宋体" w:cs="Times New Roman"/>
          <w:snapToGrid w:val="0"/>
          <w:sz w:val="24"/>
          <w:szCs w:val="24"/>
        </w:rPr>
        <w:t>表3-1 抽样调查的2017届毕业生能力训练满足实际工作的程度</w:t>
      </w:r>
    </w:p>
    <w:tbl>
      <w:tblPr>
        <w:tblStyle w:val="27"/>
        <w:tblW w:w="8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737"/>
        <w:gridCol w:w="737"/>
        <w:gridCol w:w="850"/>
        <w:gridCol w:w="737"/>
        <w:gridCol w:w="737"/>
        <w:gridCol w:w="737"/>
        <w:gridCol w:w="737"/>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84" w:type="dxa"/>
            <w:vMerge w:val="restart"/>
            <w:tcBorders>
              <w:top w:val="single" w:color="4BACC6" w:sz="8" w:space="0"/>
              <w:left w:val="single" w:color="4BACC6" w:sz="8" w:space="0"/>
              <w:bottom w:val="single" w:color="FFFFFF" w:sz="4" w:space="0"/>
              <w:right w:val="single" w:color="4BACC6" w:sz="8" w:space="0"/>
            </w:tcBorders>
            <w:shd w:val="clear" w:color="auto" w:fill="4BACC6"/>
            <w:vAlign w:val="center"/>
          </w:tcPr>
          <w:p>
            <w:pPr>
              <w:widowControl/>
              <w:jc w:val="center"/>
              <w:textAlignment w:val="top"/>
              <w:rPr>
                <w:rFonts w:ascii="Arial" w:hAnsi="Arial" w:eastAsia="宋体" w:cs="Times New Roman"/>
                <w:b/>
                <w:bCs/>
                <w:snapToGrid w:val="0"/>
                <w:kern w:val="0"/>
                <w:sz w:val="20"/>
                <w:szCs w:val="24"/>
              </w:rPr>
            </w:pPr>
          </w:p>
        </w:tc>
        <w:tc>
          <w:tcPr>
            <w:tcW w:w="737" w:type="dxa"/>
            <w:vMerge w:val="restart"/>
            <w:tcBorders>
              <w:top w:val="single" w:color="4BACC6" w:sz="8" w:space="0"/>
              <w:left w:val="single" w:color="4BACC6" w:sz="8" w:space="0"/>
              <w:bottom w:val="single" w:color="FFFFFF" w:sz="4" w:space="0"/>
              <w:right w:val="single" w:color="4BACC6" w:sz="8" w:space="0"/>
            </w:tcBorders>
            <w:shd w:val="clear" w:color="auto" w:fill="4BACC6"/>
            <w:vAlign w:val="center"/>
          </w:tcPr>
          <w:p>
            <w:pPr>
              <w:widowControl/>
              <w:jc w:val="center"/>
              <w:textAlignment w:val="top"/>
              <w:rPr>
                <w:rFonts w:ascii="Arial" w:hAnsi="Arial" w:eastAsia="宋体" w:cs="Times New Roman"/>
                <w:b/>
                <w:bCs/>
                <w:snapToGrid w:val="0"/>
                <w:kern w:val="0"/>
                <w:sz w:val="20"/>
                <w:szCs w:val="24"/>
              </w:rPr>
            </w:pPr>
            <w:r>
              <w:rPr>
                <w:rFonts w:hint="eastAsia" w:ascii="Arial" w:hAnsi="Arial" w:eastAsia="宋体" w:cs="Times New Roman"/>
                <w:b/>
                <w:bCs/>
                <w:snapToGrid w:val="0"/>
                <w:kern w:val="0"/>
                <w:sz w:val="20"/>
                <w:szCs w:val="24"/>
              </w:rPr>
              <w:t>N</w:t>
            </w:r>
          </w:p>
        </w:tc>
        <w:tc>
          <w:tcPr>
            <w:tcW w:w="737" w:type="dxa"/>
            <w:vMerge w:val="restart"/>
            <w:tcBorders>
              <w:top w:val="single" w:color="4BACC6" w:sz="8" w:space="0"/>
              <w:left w:val="single" w:color="4BACC6" w:sz="8" w:space="0"/>
              <w:bottom w:val="single" w:color="FFFFFF" w:sz="4" w:space="0"/>
              <w:right w:val="single" w:color="4BACC6" w:sz="8" w:space="0"/>
            </w:tcBorders>
            <w:shd w:val="clear" w:color="auto" w:fill="4BACC6"/>
            <w:vAlign w:val="center"/>
          </w:tcPr>
          <w:p>
            <w:pPr>
              <w:widowControl/>
              <w:jc w:val="center"/>
              <w:textAlignment w:val="top"/>
              <w:rPr>
                <w:rFonts w:ascii="Arial" w:hAnsi="Arial" w:eastAsia="宋体" w:cs="Times New Roman"/>
                <w:b/>
                <w:bCs/>
                <w:snapToGrid w:val="0"/>
                <w:kern w:val="0"/>
                <w:sz w:val="20"/>
                <w:szCs w:val="24"/>
              </w:rPr>
            </w:pPr>
            <w:r>
              <w:rPr>
                <w:rFonts w:hint="eastAsia" w:ascii="Arial" w:hAnsi="Arial" w:eastAsia="宋体" w:cs="Times New Roman"/>
                <w:b/>
                <w:bCs/>
                <w:snapToGrid w:val="0"/>
                <w:kern w:val="0"/>
                <w:sz w:val="20"/>
                <w:szCs w:val="24"/>
              </w:rPr>
              <w:t>均值</w:t>
            </w:r>
          </w:p>
        </w:tc>
        <w:tc>
          <w:tcPr>
            <w:tcW w:w="850" w:type="dxa"/>
            <w:vMerge w:val="restart"/>
            <w:tcBorders>
              <w:top w:val="single" w:color="4BACC6" w:sz="8" w:space="0"/>
              <w:left w:val="single" w:color="4BACC6" w:sz="8" w:space="0"/>
              <w:bottom w:val="single" w:color="FFFFFF" w:sz="4" w:space="0"/>
              <w:right w:val="single" w:color="4BACC6" w:sz="8" w:space="0"/>
            </w:tcBorders>
            <w:shd w:val="clear" w:color="auto" w:fill="4BACC6"/>
            <w:vAlign w:val="center"/>
          </w:tcPr>
          <w:p>
            <w:pPr>
              <w:widowControl/>
              <w:jc w:val="center"/>
              <w:textAlignment w:val="top"/>
              <w:rPr>
                <w:rFonts w:ascii="Arial" w:hAnsi="Arial" w:eastAsia="宋体" w:cs="Times New Roman"/>
                <w:b/>
                <w:bCs/>
                <w:snapToGrid w:val="0"/>
                <w:kern w:val="0"/>
                <w:sz w:val="20"/>
                <w:szCs w:val="24"/>
              </w:rPr>
            </w:pPr>
            <w:r>
              <w:rPr>
                <w:rFonts w:hint="eastAsia" w:ascii="Arial" w:hAnsi="Arial" w:eastAsia="宋体" w:cs="Times New Roman"/>
                <w:b/>
                <w:bCs/>
                <w:snapToGrid w:val="0"/>
                <w:kern w:val="0"/>
                <w:sz w:val="20"/>
                <w:szCs w:val="24"/>
              </w:rPr>
              <w:t>标准差</w:t>
            </w:r>
          </w:p>
        </w:tc>
        <w:tc>
          <w:tcPr>
            <w:tcW w:w="3847" w:type="dxa"/>
            <w:gridSpan w:val="5"/>
            <w:tcBorders>
              <w:top w:val="single" w:color="4BACC6" w:sz="8" w:space="0"/>
              <w:left w:val="single" w:color="4BACC6" w:sz="8" w:space="0"/>
              <w:bottom w:val="single" w:color="FFFFFF" w:sz="4" w:space="0"/>
              <w:right w:val="single" w:color="4BACC6" w:sz="8" w:space="0"/>
            </w:tcBorders>
            <w:shd w:val="clear" w:color="auto" w:fill="4BACC6"/>
            <w:vAlign w:val="center"/>
          </w:tcPr>
          <w:p>
            <w:pPr>
              <w:widowControl/>
              <w:jc w:val="center"/>
              <w:textAlignment w:val="top"/>
              <w:rPr>
                <w:rFonts w:ascii="Arial" w:hAnsi="Arial" w:eastAsia="宋体" w:cs="Times New Roman"/>
                <w:b/>
                <w:bCs/>
                <w:snapToGrid w:val="0"/>
                <w:kern w:val="0"/>
                <w:sz w:val="20"/>
                <w:szCs w:val="24"/>
              </w:rPr>
            </w:pPr>
            <w:r>
              <w:rPr>
                <w:rFonts w:hint="eastAsia" w:ascii="Arial" w:hAnsi="Arial" w:eastAsia="宋体" w:cs="Times New Roman"/>
                <w:b/>
                <w:bCs/>
                <w:snapToGrid w:val="0"/>
                <w:kern w:val="0"/>
                <w:sz w:val="20"/>
                <w:szCs w:val="24"/>
              </w:rPr>
              <w:t>满足程度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84" w:type="dxa"/>
            <w:vMerge w:val="continue"/>
            <w:tcBorders>
              <w:top w:val="single" w:color="FFFFFF" w:sz="4" w:space="0"/>
              <w:left w:val="single" w:color="4BACC6" w:sz="8" w:space="0"/>
              <w:bottom w:val="single" w:color="4BACC6" w:sz="8" w:space="0"/>
              <w:right w:val="single" w:color="4BACC6" w:sz="8" w:space="0"/>
            </w:tcBorders>
            <w:shd w:val="clear" w:color="auto" w:fill="B7DDE8"/>
            <w:vAlign w:val="center"/>
          </w:tcPr>
          <w:p>
            <w:pPr>
              <w:widowControl/>
              <w:jc w:val="center"/>
              <w:textAlignment w:val="top"/>
              <w:rPr>
                <w:rFonts w:ascii="Arial" w:hAnsi="Arial" w:eastAsia="宋体" w:cs="宋体"/>
                <w:b/>
                <w:bCs/>
                <w:kern w:val="0"/>
                <w:sz w:val="20"/>
                <w:szCs w:val="21"/>
                <w:lang w:bidi="ar"/>
              </w:rPr>
            </w:pPr>
          </w:p>
        </w:tc>
        <w:tc>
          <w:tcPr>
            <w:tcW w:w="737" w:type="dxa"/>
            <w:vMerge w:val="continue"/>
            <w:tcBorders>
              <w:top w:val="single" w:color="FFFFFF" w:sz="4" w:space="0"/>
              <w:left w:val="single" w:color="4BACC6" w:sz="8" w:space="0"/>
              <w:bottom w:val="single" w:color="4BACC6" w:sz="8" w:space="0"/>
              <w:right w:val="single" w:color="4BACC6" w:sz="8" w:space="0"/>
            </w:tcBorders>
            <w:shd w:val="clear" w:color="auto" w:fill="B7DDE8"/>
            <w:vAlign w:val="center"/>
          </w:tcPr>
          <w:p>
            <w:pPr>
              <w:widowControl/>
              <w:jc w:val="center"/>
              <w:textAlignment w:val="top"/>
              <w:rPr>
                <w:rFonts w:ascii="Arial" w:hAnsi="Arial" w:eastAsia="宋体" w:cs="宋体"/>
                <w:b/>
                <w:bCs/>
                <w:kern w:val="0"/>
                <w:sz w:val="20"/>
                <w:szCs w:val="21"/>
                <w:lang w:bidi="ar"/>
              </w:rPr>
            </w:pPr>
          </w:p>
        </w:tc>
        <w:tc>
          <w:tcPr>
            <w:tcW w:w="737" w:type="dxa"/>
            <w:vMerge w:val="continue"/>
            <w:tcBorders>
              <w:top w:val="single" w:color="FFFFFF" w:sz="4" w:space="0"/>
              <w:left w:val="single" w:color="4BACC6" w:sz="8" w:space="0"/>
              <w:bottom w:val="single" w:color="4BACC6" w:sz="8" w:space="0"/>
              <w:right w:val="single" w:color="4BACC6" w:sz="8" w:space="0"/>
            </w:tcBorders>
            <w:shd w:val="clear" w:color="auto" w:fill="B7DDE8"/>
            <w:vAlign w:val="center"/>
          </w:tcPr>
          <w:p>
            <w:pPr>
              <w:widowControl/>
              <w:jc w:val="center"/>
              <w:textAlignment w:val="top"/>
              <w:rPr>
                <w:rFonts w:ascii="Arial" w:hAnsi="Arial" w:eastAsia="宋体" w:cs="Times New Roman"/>
                <w:b/>
                <w:bCs/>
                <w:kern w:val="0"/>
                <w:sz w:val="20"/>
                <w:szCs w:val="21"/>
                <w:lang w:bidi="ar"/>
              </w:rPr>
            </w:pPr>
          </w:p>
        </w:tc>
        <w:tc>
          <w:tcPr>
            <w:tcW w:w="850" w:type="dxa"/>
            <w:vMerge w:val="continue"/>
            <w:tcBorders>
              <w:top w:val="single" w:color="FFFFFF" w:sz="4" w:space="0"/>
              <w:left w:val="single" w:color="4BACC6" w:sz="8" w:space="0"/>
              <w:bottom w:val="single" w:color="4BACC6" w:sz="8" w:space="0"/>
              <w:right w:val="single" w:color="4BACC6" w:sz="8" w:space="0"/>
            </w:tcBorders>
            <w:shd w:val="clear" w:color="auto" w:fill="B7DDE8"/>
            <w:vAlign w:val="center"/>
          </w:tcPr>
          <w:p>
            <w:pPr>
              <w:widowControl/>
              <w:jc w:val="center"/>
              <w:textAlignment w:val="top"/>
              <w:rPr>
                <w:rFonts w:ascii="Arial" w:hAnsi="Arial" w:eastAsia="宋体" w:cs="Times New Roman"/>
                <w:b/>
                <w:bCs/>
                <w:kern w:val="0"/>
                <w:sz w:val="20"/>
                <w:szCs w:val="21"/>
                <w:lang w:bidi="ar"/>
              </w:rPr>
            </w:pPr>
          </w:p>
        </w:tc>
        <w:tc>
          <w:tcPr>
            <w:tcW w:w="737" w:type="dxa"/>
            <w:tcBorders>
              <w:top w:val="single" w:color="FFFFFF" w:sz="4" w:space="0"/>
              <w:left w:val="single" w:color="4BACC6" w:sz="8" w:space="0"/>
              <w:bottom w:val="single" w:color="4BACC6" w:sz="8" w:space="0"/>
              <w:right w:val="single" w:color="4BACC6" w:sz="8" w:space="0"/>
            </w:tcBorders>
            <w:shd w:val="clear" w:color="auto" w:fill="B7DDE8"/>
            <w:vAlign w:val="center"/>
          </w:tcPr>
          <w:p>
            <w:pPr>
              <w:widowControl/>
              <w:jc w:val="center"/>
              <w:textAlignment w:val="top"/>
              <w:rPr>
                <w:rFonts w:ascii="Arial" w:hAnsi="Arial" w:eastAsia="宋体" w:cs="Times New Roman"/>
                <w:b/>
                <w:bCs/>
                <w:kern w:val="0"/>
                <w:sz w:val="20"/>
                <w:szCs w:val="21"/>
                <w:lang w:bidi="ar"/>
              </w:rPr>
            </w:pPr>
            <w:r>
              <w:rPr>
                <w:rFonts w:hint="eastAsia" w:ascii="Arial" w:hAnsi="Arial" w:eastAsia="宋体" w:cs="Times New Roman"/>
                <w:b/>
                <w:bCs/>
                <w:kern w:val="0"/>
                <w:sz w:val="20"/>
                <w:szCs w:val="21"/>
                <w:lang w:bidi="ar"/>
              </w:rPr>
              <w:t>完全满足</w:t>
            </w:r>
          </w:p>
        </w:tc>
        <w:tc>
          <w:tcPr>
            <w:tcW w:w="737" w:type="dxa"/>
            <w:tcBorders>
              <w:top w:val="single" w:color="FFFFFF" w:sz="4" w:space="0"/>
              <w:left w:val="single" w:color="4BACC6" w:sz="8" w:space="0"/>
              <w:bottom w:val="single" w:color="4BACC6" w:sz="8" w:space="0"/>
              <w:right w:val="single" w:color="4BACC6" w:sz="8" w:space="0"/>
            </w:tcBorders>
            <w:shd w:val="clear" w:color="auto" w:fill="B7DDE8"/>
            <w:vAlign w:val="center"/>
          </w:tcPr>
          <w:p>
            <w:pPr>
              <w:widowControl/>
              <w:jc w:val="center"/>
              <w:textAlignment w:val="top"/>
              <w:rPr>
                <w:rFonts w:ascii="Arial" w:hAnsi="Arial" w:eastAsia="宋体" w:cs="Times New Roman"/>
                <w:b/>
                <w:bCs/>
                <w:kern w:val="0"/>
                <w:sz w:val="20"/>
                <w:szCs w:val="21"/>
                <w:lang w:bidi="ar"/>
              </w:rPr>
            </w:pPr>
            <w:r>
              <w:rPr>
                <w:rFonts w:hint="eastAsia" w:ascii="Arial" w:hAnsi="Arial" w:eastAsia="宋体" w:cs="Times New Roman"/>
                <w:b/>
                <w:bCs/>
                <w:kern w:val="0"/>
                <w:sz w:val="20"/>
                <w:szCs w:val="21"/>
                <w:lang w:bidi="ar"/>
              </w:rPr>
              <w:t>能够满足</w:t>
            </w:r>
          </w:p>
        </w:tc>
        <w:tc>
          <w:tcPr>
            <w:tcW w:w="737" w:type="dxa"/>
            <w:tcBorders>
              <w:top w:val="single" w:color="FFFFFF" w:sz="4" w:space="0"/>
              <w:left w:val="single" w:color="4BACC6" w:sz="8" w:space="0"/>
              <w:bottom w:val="single" w:color="4BACC6" w:sz="8" w:space="0"/>
              <w:right w:val="single" w:color="4BACC6" w:sz="8" w:space="0"/>
            </w:tcBorders>
            <w:shd w:val="clear" w:color="auto" w:fill="B7DDE8"/>
            <w:vAlign w:val="center"/>
          </w:tcPr>
          <w:p>
            <w:pPr>
              <w:widowControl/>
              <w:jc w:val="center"/>
              <w:textAlignment w:val="top"/>
              <w:rPr>
                <w:rFonts w:ascii="Arial" w:hAnsi="Arial" w:eastAsia="宋体" w:cs="Times New Roman"/>
                <w:b/>
                <w:bCs/>
                <w:kern w:val="0"/>
                <w:sz w:val="20"/>
                <w:szCs w:val="21"/>
                <w:lang w:bidi="ar"/>
              </w:rPr>
            </w:pPr>
            <w:r>
              <w:rPr>
                <w:rFonts w:hint="eastAsia" w:ascii="Arial" w:hAnsi="Arial" w:eastAsia="宋体" w:cs="Times New Roman"/>
                <w:b/>
                <w:bCs/>
                <w:kern w:val="0"/>
                <w:sz w:val="20"/>
                <w:szCs w:val="21"/>
                <w:lang w:bidi="ar"/>
              </w:rPr>
              <w:t>不好说</w:t>
            </w:r>
          </w:p>
        </w:tc>
        <w:tc>
          <w:tcPr>
            <w:tcW w:w="737" w:type="dxa"/>
            <w:tcBorders>
              <w:top w:val="single" w:color="FFFFFF" w:sz="4" w:space="0"/>
              <w:left w:val="single" w:color="4BACC6" w:sz="8" w:space="0"/>
              <w:bottom w:val="single" w:color="4BACC6" w:sz="8" w:space="0"/>
              <w:right w:val="single" w:color="4BACC6" w:sz="8" w:space="0"/>
            </w:tcBorders>
            <w:shd w:val="clear" w:color="auto" w:fill="B7DDE8"/>
            <w:vAlign w:val="center"/>
          </w:tcPr>
          <w:p>
            <w:pPr>
              <w:widowControl/>
              <w:jc w:val="center"/>
              <w:textAlignment w:val="top"/>
              <w:rPr>
                <w:rFonts w:ascii="Arial" w:hAnsi="Arial" w:eastAsia="宋体" w:cs="Times New Roman"/>
                <w:b/>
                <w:bCs/>
                <w:kern w:val="0"/>
                <w:sz w:val="20"/>
                <w:szCs w:val="21"/>
                <w:lang w:bidi="ar"/>
              </w:rPr>
            </w:pPr>
            <w:r>
              <w:rPr>
                <w:rFonts w:hint="eastAsia" w:ascii="Arial" w:hAnsi="Arial" w:eastAsia="宋体" w:cs="Times New Roman"/>
                <w:b/>
                <w:bCs/>
                <w:kern w:val="0"/>
                <w:sz w:val="20"/>
                <w:szCs w:val="21"/>
                <w:lang w:bidi="ar"/>
              </w:rPr>
              <w:t>不能满足</w:t>
            </w:r>
          </w:p>
        </w:tc>
        <w:tc>
          <w:tcPr>
            <w:tcW w:w="899" w:type="dxa"/>
            <w:tcBorders>
              <w:top w:val="single" w:color="FFFFFF" w:sz="4" w:space="0"/>
              <w:left w:val="single" w:color="4BACC6" w:sz="8" w:space="0"/>
              <w:bottom w:val="single" w:color="4BACC6" w:sz="8" w:space="0"/>
              <w:right w:val="single" w:color="4BACC6" w:sz="8" w:space="0"/>
            </w:tcBorders>
            <w:shd w:val="clear" w:color="auto" w:fill="B7DDE8"/>
            <w:vAlign w:val="center"/>
          </w:tcPr>
          <w:p>
            <w:pPr>
              <w:widowControl/>
              <w:jc w:val="center"/>
              <w:textAlignment w:val="top"/>
              <w:rPr>
                <w:rFonts w:ascii="Arial" w:hAnsi="Arial" w:eastAsia="宋体" w:cs="Times New Roman"/>
                <w:b/>
                <w:bCs/>
                <w:kern w:val="0"/>
                <w:sz w:val="20"/>
                <w:szCs w:val="21"/>
                <w:lang w:bidi="ar"/>
              </w:rPr>
            </w:pPr>
            <w:r>
              <w:rPr>
                <w:rFonts w:hint="eastAsia" w:ascii="Arial" w:hAnsi="Arial" w:eastAsia="宋体" w:cs="Times New Roman"/>
                <w:b/>
                <w:bCs/>
                <w:kern w:val="0"/>
                <w:sz w:val="20"/>
                <w:szCs w:val="21"/>
                <w:lang w:bidi="ar"/>
              </w:rPr>
              <w:t>完全不满足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84"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left"/>
              <w:textAlignment w:val="top"/>
              <w:rPr>
                <w:rFonts w:ascii="Arial" w:hAnsi="Arial" w:eastAsia="宋体" w:cs="宋体"/>
                <w:kern w:val="0"/>
                <w:sz w:val="20"/>
                <w:szCs w:val="21"/>
                <w:lang w:bidi="ar"/>
              </w:rPr>
            </w:pPr>
            <w:r>
              <w:rPr>
                <w:rFonts w:hint="eastAsia" w:ascii="Arial" w:hAnsi="Arial" w:eastAsia="宋体" w:cs="宋体"/>
                <w:kern w:val="0"/>
                <w:sz w:val="20"/>
                <w:szCs w:val="21"/>
                <w:lang w:bidi="ar"/>
              </w:rPr>
              <w:t>通识性知识与技能</w:t>
            </w:r>
          </w:p>
        </w:tc>
        <w:tc>
          <w:tcPr>
            <w:tcW w:w="73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宋体"/>
                <w:kern w:val="0"/>
                <w:sz w:val="20"/>
                <w:szCs w:val="21"/>
                <w:lang w:bidi="ar"/>
              </w:rPr>
            </w:pPr>
            <w:r>
              <w:rPr>
                <w:rFonts w:hint="eastAsia" w:ascii="Arial" w:hAnsi="Arial" w:eastAsia="宋体" w:cs="宋体"/>
                <w:kern w:val="0"/>
                <w:sz w:val="20"/>
                <w:szCs w:val="21"/>
                <w:lang w:bidi="ar"/>
              </w:rPr>
              <w:t>1317</w:t>
            </w:r>
          </w:p>
        </w:tc>
        <w:tc>
          <w:tcPr>
            <w:tcW w:w="73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kern w:val="0"/>
                <w:sz w:val="20"/>
                <w:szCs w:val="21"/>
                <w:lang w:bidi="ar"/>
              </w:rPr>
            </w:pPr>
            <w:r>
              <w:rPr>
                <w:rFonts w:ascii="Arial" w:hAnsi="Arial" w:eastAsia="宋体" w:cs="Times New Roman"/>
                <w:kern w:val="0"/>
                <w:sz w:val="20"/>
                <w:szCs w:val="21"/>
                <w:lang w:bidi="ar"/>
              </w:rPr>
              <w:t>3.74</w:t>
            </w:r>
          </w:p>
        </w:tc>
        <w:tc>
          <w:tcPr>
            <w:tcW w:w="850"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kern w:val="0"/>
                <w:sz w:val="20"/>
                <w:szCs w:val="21"/>
                <w:lang w:bidi="ar"/>
              </w:rPr>
            </w:pPr>
            <w:r>
              <w:rPr>
                <w:rFonts w:ascii="Arial" w:hAnsi="Arial" w:eastAsia="宋体" w:cs="Times New Roman"/>
                <w:kern w:val="0"/>
                <w:sz w:val="20"/>
                <w:szCs w:val="21"/>
                <w:lang w:bidi="ar"/>
              </w:rPr>
              <w:t>0.98</w:t>
            </w:r>
          </w:p>
        </w:tc>
        <w:tc>
          <w:tcPr>
            <w:tcW w:w="73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kern w:val="0"/>
                <w:sz w:val="20"/>
                <w:szCs w:val="21"/>
                <w:lang w:bidi="ar"/>
              </w:rPr>
            </w:pPr>
            <w:r>
              <w:rPr>
                <w:rFonts w:ascii="Arial" w:hAnsi="Arial" w:eastAsia="宋体" w:cs="Times New Roman"/>
                <w:kern w:val="0"/>
                <w:sz w:val="20"/>
                <w:szCs w:val="21"/>
                <w:lang w:bidi="ar"/>
              </w:rPr>
              <w:t>20.09</w:t>
            </w:r>
          </w:p>
        </w:tc>
        <w:tc>
          <w:tcPr>
            <w:tcW w:w="73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kern w:val="0"/>
                <w:sz w:val="20"/>
                <w:szCs w:val="21"/>
                <w:lang w:bidi="ar"/>
              </w:rPr>
            </w:pPr>
            <w:r>
              <w:rPr>
                <w:rFonts w:ascii="Arial" w:hAnsi="Arial" w:eastAsia="宋体" w:cs="Times New Roman"/>
                <w:kern w:val="0"/>
                <w:sz w:val="20"/>
                <w:szCs w:val="21"/>
                <w:lang w:bidi="ar"/>
              </w:rPr>
              <w:t>48.89</w:t>
            </w:r>
          </w:p>
        </w:tc>
        <w:tc>
          <w:tcPr>
            <w:tcW w:w="73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kern w:val="0"/>
                <w:sz w:val="20"/>
                <w:szCs w:val="21"/>
                <w:lang w:bidi="ar"/>
              </w:rPr>
            </w:pPr>
            <w:r>
              <w:rPr>
                <w:rFonts w:ascii="Arial" w:hAnsi="Arial" w:eastAsia="宋体" w:cs="Times New Roman"/>
                <w:kern w:val="0"/>
                <w:sz w:val="20"/>
                <w:szCs w:val="21"/>
                <w:lang w:bidi="ar"/>
              </w:rPr>
              <w:t>20.09</w:t>
            </w:r>
          </w:p>
        </w:tc>
        <w:tc>
          <w:tcPr>
            <w:tcW w:w="73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kern w:val="0"/>
                <w:sz w:val="20"/>
                <w:szCs w:val="21"/>
                <w:lang w:bidi="ar"/>
              </w:rPr>
            </w:pPr>
            <w:r>
              <w:rPr>
                <w:rFonts w:ascii="Arial" w:hAnsi="Arial" w:eastAsia="宋体" w:cs="Times New Roman"/>
                <w:kern w:val="0"/>
                <w:sz w:val="20"/>
                <w:szCs w:val="21"/>
                <w:lang w:bidi="ar"/>
              </w:rPr>
              <w:t>7.12</w:t>
            </w:r>
          </w:p>
        </w:tc>
        <w:tc>
          <w:tcPr>
            <w:tcW w:w="899"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kern w:val="0"/>
                <w:sz w:val="20"/>
                <w:szCs w:val="21"/>
                <w:lang w:bidi="ar"/>
              </w:rPr>
            </w:pPr>
            <w:r>
              <w:rPr>
                <w:rFonts w:ascii="Arial" w:hAnsi="Arial" w:eastAsia="宋体" w:cs="Times New Roman"/>
                <w:kern w:val="0"/>
                <w:sz w:val="20"/>
                <w:szCs w:val="21"/>
                <w:lang w:bidi="a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84"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left"/>
              <w:textAlignment w:val="top"/>
              <w:rPr>
                <w:rFonts w:ascii="Arial" w:hAnsi="Arial" w:eastAsia="宋体" w:cs="Times New Roman"/>
                <w:snapToGrid w:val="0"/>
                <w:kern w:val="0"/>
                <w:sz w:val="20"/>
                <w:szCs w:val="24"/>
              </w:rPr>
            </w:pPr>
            <w:r>
              <w:rPr>
                <w:rFonts w:hint="eastAsia" w:ascii="Arial" w:hAnsi="Arial" w:eastAsia="宋体" w:cs="宋体"/>
                <w:kern w:val="0"/>
                <w:sz w:val="20"/>
                <w:szCs w:val="21"/>
                <w:lang w:bidi="ar"/>
              </w:rPr>
              <w:t>专业性知识与技能</w:t>
            </w:r>
          </w:p>
        </w:tc>
        <w:tc>
          <w:tcPr>
            <w:tcW w:w="73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hint="eastAsia" w:ascii="Arial" w:hAnsi="Arial" w:eastAsia="宋体" w:cs="宋体"/>
                <w:kern w:val="0"/>
                <w:sz w:val="20"/>
                <w:szCs w:val="21"/>
                <w:lang w:bidi="ar"/>
              </w:rPr>
              <w:t>1317</w:t>
            </w:r>
          </w:p>
        </w:tc>
        <w:tc>
          <w:tcPr>
            <w:tcW w:w="73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3.68</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1.02</w:t>
            </w:r>
          </w:p>
        </w:tc>
        <w:tc>
          <w:tcPr>
            <w:tcW w:w="73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20.25</w:t>
            </w:r>
          </w:p>
        </w:tc>
        <w:tc>
          <w:tcPr>
            <w:tcW w:w="73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44.62</w:t>
            </w:r>
          </w:p>
        </w:tc>
        <w:tc>
          <w:tcPr>
            <w:tcW w:w="73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20.89</w:t>
            </w:r>
          </w:p>
        </w:tc>
        <w:tc>
          <w:tcPr>
            <w:tcW w:w="73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10.92</w:t>
            </w:r>
          </w:p>
        </w:tc>
        <w:tc>
          <w:tcPr>
            <w:tcW w:w="899"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84"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left"/>
              <w:textAlignment w:val="top"/>
              <w:rPr>
                <w:rFonts w:ascii="Arial" w:hAnsi="Arial" w:eastAsia="宋体" w:cs="Times New Roman"/>
                <w:snapToGrid w:val="0"/>
                <w:kern w:val="0"/>
                <w:sz w:val="20"/>
                <w:szCs w:val="24"/>
              </w:rPr>
            </w:pPr>
            <w:r>
              <w:rPr>
                <w:rFonts w:hint="eastAsia" w:ascii="Arial" w:hAnsi="Arial" w:eastAsia="宋体" w:cs="宋体"/>
                <w:kern w:val="0"/>
                <w:sz w:val="20"/>
                <w:szCs w:val="21"/>
                <w:lang w:bidi="ar"/>
              </w:rPr>
              <w:t>学习能力</w:t>
            </w:r>
          </w:p>
        </w:tc>
        <w:tc>
          <w:tcPr>
            <w:tcW w:w="73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snapToGrid w:val="0"/>
                <w:kern w:val="0"/>
                <w:sz w:val="20"/>
                <w:szCs w:val="24"/>
              </w:rPr>
            </w:pPr>
            <w:r>
              <w:rPr>
                <w:rFonts w:hint="eastAsia" w:ascii="Arial" w:hAnsi="Arial" w:eastAsia="宋体" w:cs="宋体"/>
                <w:kern w:val="0"/>
                <w:sz w:val="20"/>
                <w:szCs w:val="21"/>
                <w:lang w:bidi="ar"/>
              </w:rPr>
              <w:t>1317</w:t>
            </w:r>
          </w:p>
        </w:tc>
        <w:tc>
          <w:tcPr>
            <w:tcW w:w="73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3.85</w:t>
            </w:r>
          </w:p>
        </w:tc>
        <w:tc>
          <w:tcPr>
            <w:tcW w:w="850"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0.94</w:t>
            </w:r>
          </w:p>
        </w:tc>
        <w:tc>
          <w:tcPr>
            <w:tcW w:w="73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22.94</w:t>
            </w:r>
          </w:p>
        </w:tc>
        <w:tc>
          <w:tcPr>
            <w:tcW w:w="73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51.58</w:t>
            </w:r>
          </w:p>
        </w:tc>
        <w:tc>
          <w:tcPr>
            <w:tcW w:w="73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16.3</w:t>
            </w:r>
          </w:p>
        </w:tc>
        <w:tc>
          <w:tcPr>
            <w:tcW w:w="73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6.33</w:t>
            </w:r>
          </w:p>
        </w:tc>
        <w:tc>
          <w:tcPr>
            <w:tcW w:w="899"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84"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left"/>
              <w:textAlignment w:val="top"/>
              <w:rPr>
                <w:rFonts w:ascii="Arial" w:hAnsi="Arial" w:eastAsia="宋体" w:cs="Times New Roman"/>
                <w:snapToGrid w:val="0"/>
                <w:kern w:val="0"/>
                <w:sz w:val="20"/>
                <w:szCs w:val="24"/>
              </w:rPr>
            </w:pPr>
            <w:r>
              <w:rPr>
                <w:rFonts w:hint="eastAsia" w:ascii="Arial" w:hAnsi="Arial" w:eastAsia="宋体" w:cs="宋体"/>
                <w:kern w:val="0"/>
                <w:sz w:val="20"/>
                <w:szCs w:val="21"/>
                <w:lang w:bidi="ar"/>
              </w:rPr>
              <w:t>创新能力</w:t>
            </w:r>
          </w:p>
        </w:tc>
        <w:tc>
          <w:tcPr>
            <w:tcW w:w="73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hint="eastAsia" w:ascii="Arial" w:hAnsi="Arial" w:eastAsia="宋体" w:cs="宋体"/>
                <w:kern w:val="0"/>
                <w:sz w:val="20"/>
                <w:szCs w:val="21"/>
                <w:lang w:bidi="ar"/>
              </w:rPr>
              <w:t>1317</w:t>
            </w:r>
          </w:p>
        </w:tc>
        <w:tc>
          <w:tcPr>
            <w:tcW w:w="73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3.73</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1.02</w:t>
            </w:r>
          </w:p>
        </w:tc>
        <w:tc>
          <w:tcPr>
            <w:tcW w:w="73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23.42</w:t>
            </w:r>
          </w:p>
        </w:tc>
        <w:tc>
          <w:tcPr>
            <w:tcW w:w="73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41.77</w:t>
            </w:r>
          </w:p>
        </w:tc>
        <w:tc>
          <w:tcPr>
            <w:tcW w:w="73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22.94</w:t>
            </w:r>
          </w:p>
        </w:tc>
        <w:tc>
          <w:tcPr>
            <w:tcW w:w="73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8.54</w:t>
            </w:r>
          </w:p>
        </w:tc>
        <w:tc>
          <w:tcPr>
            <w:tcW w:w="899"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84"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left"/>
              <w:textAlignment w:val="top"/>
              <w:rPr>
                <w:rFonts w:ascii="Arial" w:hAnsi="Arial" w:eastAsia="宋体" w:cs="Times New Roman"/>
                <w:snapToGrid w:val="0"/>
                <w:kern w:val="0"/>
                <w:sz w:val="20"/>
                <w:szCs w:val="24"/>
              </w:rPr>
            </w:pPr>
            <w:r>
              <w:rPr>
                <w:rFonts w:hint="eastAsia" w:ascii="Arial" w:hAnsi="Arial" w:eastAsia="宋体" w:cs="宋体"/>
                <w:kern w:val="0"/>
                <w:sz w:val="20"/>
                <w:szCs w:val="21"/>
                <w:lang w:bidi="ar"/>
              </w:rPr>
              <w:t>沟通与表达能力</w:t>
            </w:r>
          </w:p>
        </w:tc>
        <w:tc>
          <w:tcPr>
            <w:tcW w:w="73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snapToGrid w:val="0"/>
                <w:kern w:val="0"/>
                <w:sz w:val="20"/>
                <w:szCs w:val="24"/>
              </w:rPr>
            </w:pPr>
            <w:r>
              <w:rPr>
                <w:rFonts w:hint="eastAsia" w:ascii="Arial" w:hAnsi="Arial" w:eastAsia="宋体" w:cs="宋体"/>
                <w:kern w:val="0"/>
                <w:sz w:val="20"/>
                <w:szCs w:val="21"/>
                <w:lang w:bidi="ar"/>
              </w:rPr>
              <w:t>1317</w:t>
            </w:r>
          </w:p>
        </w:tc>
        <w:tc>
          <w:tcPr>
            <w:tcW w:w="73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3.91</w:t>
            </w:r>
          </w:p>
        </w:tc>
        <w:tc>
          <w:tcPr>
            <w:tcW w:w="850"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0.96</w:t>
            </w:r>
          </w:p>
        </w:tc>
        <w:tc>
          <w:tcPr>
            <w:tcW w:w="73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26.9</w:t>
            </w:r>
          </w:p>
        </w:tc>
        <w:tc>
          <w:tcPr>
            <w:tcW w:w="73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49.68</w:t>
            </w:r>
          </w:p>
        </w:tc>
        <w:tc>
          <w:tcPr>
            <w:tcW w:w="73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14.87</w:t>
            </w:r>
          </w:p>
        </w:tc>
        <w:tc>
          <w:tcPr>
            <w:tcW w:w="73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5.06</w:t>
            </w:r>
          </w:p>
        </w:tc>
        <w:tc>
          <w:tcPr>
            <w:tcW w:w="899"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84"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left"/>
              <w:textAlignment w:val="top"/>
              <w:rPr>
                <w:rFonts w:ascii="Arial" w:hAnsi="Arial" w:eastAsia="宋体" w:cs="Times New Roman"/>
                <w:snapToGrid w:val="0"/>
                <w:kern w:val="0"/>
                <w:sz w:val="20"/>
                <w:szCs w:val="24"/>
              </w:rPr>
            </w:pPr>
            <w:r>
              <w:rPr>
                <w:rFonts w:hint="eastAsia" w:ascii="Arial" w:hAnsi="Arial" w:eastAsia="宋体" w:cs="宋体"/>
                <w:kern w:val="0"/>
                <w:sz w:val="20"/>
                <w:szCs w:val="21"/>
                <w:lang w:bidi="ar"/>
              </w:rPr>
              <w:t>组织与管理能力</w:t>
            </w:r>
          </w:p>
        </w:tc>
        <w:tc>
          <w:tcPr>
            <w:tcW w:w="73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hint="eastAsia" w:ascii="Arial" w:hAnsi="Arial" w:eastAsia="宋体" w:cs="宋体"/>
                <w:kern w:val="0"/>
                <w:sz w:val="20"/>
                <w:szCs w:val="21"/>
                <w:lang w:bidi="ar"/>
              </w:rPr>
              <w:t>1317</w:t>
            </w:r>
          </w:p>
        </w:tc>
        <w:tc>
          <w:tcPr>
            <w:tcW w:w="73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3.79</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0.99</w:t>
            </w:r>
          </w:p>
        </w:tc>
        <w:tc>
          <w:tcPr>
            <w:tcW w:w="73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24.21</w:t>
            </w:r>
          </w:p>
        </w:tc>
        <w:tc>
          <w:tcPr>
            <w:tcW w:w="73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44.46</w:t>
            </w:r>
          </w:p>
        </w:tc>
        <w:tc>
          <w:tcPr>
            <w:tcW w:w="73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20.73</w:t>
            </w:r>
          </w:p>
        </w:tc>
        <w:tc>
          <w:tcPr>
            <w:tcW w:w="73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7.44</w:t>
            </w:r>
          </w:p>
        </w:tc>
        <w:tc>
          <w:tcPr>
            <w:tcW w:w="899"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84"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left"/>
              <w:textAlignment w:val="top"/>
              <w:rPr>
                <w:rFonts w:ascii="Arial" w:hAnsi="Arial" w:eastAsia="宋体" w:cs="Times New Roman"/>
                <w:snapToGrid w:val="0"/>
                <w:kern w:val="0"/>
                <w:sz w:val="20"/>
                <w:szCs w:val="24"/>
              </w:rPr>
            </w:pPr>
            <w:r>
              <w:rPr>
                <w:rFonts w:hint="eastAsia" w:ascii="Arial" w:hAnsi="Arial" w:eastAsia="宋体" w:cs="宋体"/>
                <w:kern w:val="0"/>
                <w:sz w:val="20"/>
                <w:szCs w:val="21"/>
                <w:lang w:bidi="ar"/>
              </w:rPr>
              <w:t>执行能力</w:t>
            </w:r>
          </w:p>
        </w:tc>
        <w:tc>
          <w:tcPr>
            <w:tcW w:w="73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snapToGrid w:val="0"/>
                <w:kern w:val="0"/>
                <w:sz w:val="20"/>
                <w:szCs w:val="24"/>
              </w:rPr>
            </w:pPr>
            <w:r>
              <w:rPr>
                <w:rFonts w:hint="eastAsia" w:ascii="Arial" w:hAnsi="Arial" w:eastAsia="宋体" w:cs="宋体"/>
                <w:kern w:val="0"/>
                <w:sz w:val="20"/>
                <w:szCs w:val="21"/>
                <w:lang w:bidi="ar"/>
              </w:rPr>
              <w:t>1317</w:t>
            </w:r>
          </w:p>
        </w:tc>
        <w:tc>
          <w:tcPr>
            <w:tcW w:w="73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3.86</w:t>
            </w:r>
          </w:p>
        </w:tc>
        <w:tc>
          <w:tcPr>
            <w:tcW w:w="850"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0.93</w:t>
            </w:r>
          </w:p>
        </w:tc>
        <w:tc>
          <w:tcPr>
            <w:tcW w:w="73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23.42</w:t>
            </w:r>
          </w:p>
        </w:tc>
        <w:tc>
          <w:tcPr>
            <w:tcW w:w="73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50.63</w:t>
            </w:r>
          </w:p>
        </w:tc>
        <w:tc>
          <w:tcPr>
            <w:tcW w:w="73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17.25</w:t>
            </w:r>
          </w:p>
        </w:tc>
        <w:tc>
          <w:tcPr>
            <w:tcW w:w="73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6.33</w:t>
            </w:r>
          </w:p>
        </w:tc>
        <w:tc>
          <w:tcPr>
            <w:tcW w:w="899"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84"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left"/>
              <w:textAlignment w:val="top"/>
              <w:rPr>
                <w:rFonts w:ascii="Arial" w:hAnsi="Arial" w:eastAsia="宋体" w:cs="Times New Roman"/>
                <w:snapToGrid w:val="0"/>
                <w:kern w:val="0"/>
                <w:sz w:val="20"/>
                <w:szCs w:val="24"/>
              </w:rPr>
            </w:pPr>
            <w:r>
              <w:rPr>
                <w:rFonts w:hint="eastAsia" w:ascii="Arial" w:hAnsi="Arial" w:eastAsia="宋体" w:cs="宋体"/>
                <w:kern w:val="0"/>
                <w:sz w:val="20"/>
                <w:szCs w:val="21"/>
                <w:lang w:bidi="ar"/>
              </w:rPr>
              <w:t>自我管理能力</w:t>
            </w:r>
          </w:p>
        </w:tc>
        <w:tc>
          <w:tcPr>
            <w:tcW w:w="73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hint="eastAsia" w:ascii="Arial" w:hAnsi="Arial" w:eastAsia="宋体" w:cs="宋体"/>
                <w:kern w:val="0"/>
                <w:sz w:val="20"/>
                <w:szCs w:val="21"/>
                <w:lang w:bidi="ar"/>
              </w:rPr>
              <w:t>1317</w:t>
            </w:r>
          </w:p>
        </w:tc>
        <w:tc>
          <w:tcPr>
            <w:tcW w:w="73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3.93</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0.93</w:t>
            </w:r>
          </w:p>
        </w:tc>
        <w:tc>
          <w:tcPr>
            <w:tcW w:w="73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26.42</w:t>
            </w:r>
          </w:p>
        </w:tc>
        <w:tc>
          <w:tcPr>
            <w:tcW w:w="73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50.63</w:t>
            </w:r>
          </w:p>
        </w:tc>
        <w:tc>
          <w:tcPr>
            <w:tcW w:w="73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14.08</w:t>
            </w:r>
          </w:p>
        </w:tc>
        <w:tc>
          <w:tcPr>
            <w:tcW w:w="73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6.8</w:t>
            </w:r>
          </w:p>
        </w:tc>
        <w:tc>
          <w:tcPr>
            <w:tcW w:w="899"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84"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left"/>
              <w:textAlignment w:val="top"/>
              <w:rPr>
                <w:rFonts w:ascii="Arial" w:hAnsi="Arial" w:eastAsia="宋体" w:cs="Times New Roman"/>
                <w:snapToGrid w:val="0"/>
                <w:kern w:val="0"/>
                <w:sz w:val="20"/>
                <w:szCs w:val="24"/>
              </w:rPr>
            </w:pPr>
            <w:r>
              <w:rPr>
                <w:rFonts w:hint="eastAsia" w:ascii="Arial" w:hAnsi="Arial" w:eastAsia="宋体" w:cs="宋体"/>
                <w:kern w:val="0"/>
                <w:sz w:val="20"/>
                <w:szCs w:val="21"/>
                <w:lang w:bidi="ar"/>
              </w:rPr>
              <w:t>职业适应能力</w:t>
            </w:r>
          </w:p>
        </w:tc>
        <w:tc>
          <w:tcPr>
            <w:tcW w:w="73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snapToGrid w:val="0"/>
                <w:kern w:val="0"/>
                <w:sz w:val="20"/>
                <w:szCs w:val="24"/>
              </w:rPr>
            </w:pPr>
            <w:r>
              <w:rPr>
                <w:rFonts w:hint="eastAsia" w:ascii="Arial" w:hAnsi="Arial" w:eastAsia="宋体" w:cs="宋体"/>
                <w:kern w:val="0"/>
                <w:sz w:val="20"/>
                <w:szCs w:val="21"/>
                <w:lang w:bidi="ar"/>
              </w:rPr>
              <w:t>1317</w:t>
            </w:r>
          </w:p>
        </w:tc>
        <w:tc>
          <w:tcPr>
            <w:tcW w:w="73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3.86</w:t>
            </w:r>
          </w:p>
        </w:tc>
        <w:tc>
          <w:tcPr>
            <w:tcW w:w="850"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0.96</w:t>
            </w:r>
          </w:p>
        </w:tc>
        <w:tc>
          <w:tcPr>
            <w:tcW w:w="73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24.53</w:t>
            </w:r>
          </w:p>
        </w:tc>
        <w:tc>
          <w:tcPr>
            <w:tcW w:w="73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48.26</w:t>
            </w:r>
          </w:p>
        </w:tc>
        <w:tc>
          <w:tcPr>
            <w:tcW w:w="73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18.83</w:t>
            </w:r>
          </w:p>
        </w:tc>
        <w:tc>
          <w:tcPr>
            <w:tcW w:w="737"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5.06</w:t>
            </w:r>
          </w:p>
        </w:tc>
        <w:tc>
          <w:tcPr>
            <w:tcW w:w="899" w:type="dxa"/>
            <w:tcBorders>
              <w:top w:val="single" w:color="4BACC6" w:sz="8" w:space="0"/>
              <w:left w:val="single" w:color="4BACC6" w:sz="8" w:space="0"/>
              <w:bottom w:val="single" w:color="4BACC6" w:sz="8" w:space="0"/>
              <w:right w:val="single" w:color="4BACC6" w:sz="8" w:space="0"/>
            </w:tcBorders>
            <w:shd w:val="clear" w:color="auto" w:fill="FFFFFF"/>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84"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left"/>
              <w:textAlignment w:val="top"/>
              <w:rPr>
                <w:rFonts w:ascii="Arial" w:hAnsi="Arial" w:eastAsia="宋体" w:cs="Times New Roman"/>
                <w:snapToGrid w:val="0"/>
                <w:kern w:val="0"/>
                <w:sz w:val="20"/>
                <w:szCs w:val="24"/>
              </w:rPr>
            </w:pPr>
            <w:r>
              <w:rPr>
                <w:rFonts w:hint="eastAsia" w:ascii="Arial" w:hAnsi="Arial" w:eastAsia="宋体" w:cs="宋体"/>
                <w:kern w:val="0"/>
                <w:sz w:val="20"/>
                <w:szCs w:val="21"/>
                <w:lang w:bidi="ar"/>
              </w:rPr>
              <w:t>职业规划能力</w:t>
            </w:r>
          </w:p>
        </w:tc>
        <w:tc>
          <w:tcPr>
            <w:tcW w:w="73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hint="eastAsia" w:ascii="Arial" w:hAnsi="Arial" w:eastAsia="宋体" w:cs="宋体"/>
                <w:kern w:val="0"/>
                <w:sz w:val="20"/>
                <w:szCs w:val="21"/>
                <w:lang w:bidi="ar"/>
              </w:rPr>
              <w:t>1317</w:t>
            </w:r>
          </w:p>
        </w:tc>
        <w:tc>
          <w:tcPr>
            <w:tcW w:w="73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3.76</w:t>
            </w:r>
          </w:p>
        </w:tc>
        <w:tc>
          <w:tcPr>
            <w:tcW w:w="850"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0.97</w:t>
            </w:r>
          </w:p>
        </w:tc>
        <w:tc>
          <w:tcPr>
            <w:tcW w:w="73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22.31</w:t>
            </w:r>
          </w:p>
        </w:tc>
        <w:tc>
          <w:tcPr>
            <w:tcW w:w="73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44.3</w:t>
            </w:r>
          </w:p>
        </w:tc>
        <w:tc>
          <w:tcPr>
            <w:tcW w:w="73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23.26</w:t>
            </w:r>
          </w:p>
        </w:tc>
        <w:tc>
          <w:tcPr>
            <w:tcW w:w="737"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7.59</w:t>
            </w:r>
          </w:p>
        </w:tc>
        <w:tc>
          <w:tcPr>
            <w:tcW w:w="899" w:type="dxa"/>
            <w:tcBorders>
              <w:top w:val="single" w:color="4BACC6" w:sz="8" w:space="0"/>
              <w:left w:val="single" w:color="4BACC6" w:sz="8" w:space="0"/>
              <w:bottom w:val="single" w:color="4BACC6" w:sz="8" w:space="0"/>
              <w:right w:val="single" w:color="4BACC6" w:sz="8" w:space="0"/>
            </w:tcBorders>
            <w:shd w:val="clear" w:color="auto" w:fill="B7DDE8"/>
          </w:tcPr>
          <w:p>
            <w:pPr>
              <w:widowControl/>
              <w:jc w:val="center"/>
              <w:textAlignment w:val="top"/>
              <w:rPr>
                <w:rFonts w:ascii="Arial" w:hAnsi="Arial" w:eastAsia="宋体" w:cs="Times New Roman"/>
                <w:snapToGrid w:val="0"/>
                <w:kern w:val="0"/>
                <w:sz w:val="20"/>
                <w:szCs w:val="24"/>
              </w:rPr>
            </w:pPr>
            <w:r>
              <w:rPr>
                <w:rFonts w:ascii="Arial" w:hAnsi="Arial" w:eastAsia="宋体" w:cs="Times New Roman"/>
                <w:kern w:val="0"/>
                <w:sz w:val="20"/>
                <w:szCs w:val="21"/>
                <w:lang w:bidi="ar"/>
              </w:rPr>
              <w:t>2.53</w:t>
            </w:r>
          </w:p>
        </w:tc>
      </w:tr>
    </w:tbl>
    <w:p>
      <w:pPr>
        <w:pStyle w:val="4"/>
        <w:autoSpaceDE w:val="0"/>
        <w:spacing w:beforeLines="0" w:afterLines="0" w:line="312" w:lineRule="auto"/>
        <w:ind w:firstLine="0" w:firstLineChars="0"/>
        <w:jc w:val="both"/>
        <w:rPr>
          <w:rFonts w:eastAsia="黑体"/>
          <w:bCs w:val="0"/>
          <w:snapToGrid/>
          <w:sz w:val="28"/>
          <w:szCs w:val="28"/>
        </w:rPr>
      </w:pPr>
      <w:bookmarkStart w:id="247" w:name="_Toc501407861"/>
      <w:bookmarkStart w:id="248" w:name="_Toc491854133"/>
      <w:bookmarkStart w:id="249" w:name="_Toc6797"/>
      <w:r>
        <w:rPr>
          <w:rFonts w:hint="eastAsia" w:eastAsia="黑体"/>
          <w:bCs w:val="0"/>
          <w:snapToGrid/>
          <w:sz w:val="28"/>
          <w:szCs w:val="28"/>
        </w:rPr>
        <w:t>（三）抽样调查的2017届毕业生对就业创业教育的评价</w:t>
      </w:r>
      <w:bookmarkEnd w:id="247"/>
    </w:p>
    <w:p>
      <w:pPr>
        <w:pStyle w:val="33"/>
        <w:spacing w:before="180" w:after="180" w:afterLines="0" w:line="360" w:lineRule="auto"/>
        <w:ind w:firstLine="482" w:firstLineChars="200"/>
        <w:outlineLvl w:val="2"/>
        <w:rPr>
          <w:rFonts w:ascii="Times New Roman" w:hAnsi="Times New Roman" w:eastAsia="宋体"/>
          <w:sz w:val="24"/>
          <w:szCs w:val="24"/>
        </w:rPr>
      </w:pPr>
      <w:bookmarkStart w:id="250" w:name="_Toc501407862"/>
      <w:r>
        <w:rPr>
          <w:rFonts w:hint="eastAsia" w:ascii="Times New Roman" w:hAnsi="Times New Roman" w:eastAsia="宋体"/>
          <w:sz w:val="24"/>
          <w:szCs w:val="24"/>
        </w:rPr>
        <w:t>1．</w:t>
      </w:r>
      <w:bookmarkEnd w:id="239"/>
      <w:r>
        <w:rPr>
          <w:rFonts w:hint="eastAsia" w:ascii="Times New Roman" w:hAnsi="Times New Roman" w:eastAsia="宋体"/>
          <w:sz w:val="24"/>
          <w:szCs w:val="24"/>
        </w:rPr>
        <w:t>抽样调查的2017届毕业生就业教育及服务的参与情况和满意程度</w:t>
      </w:r>
      <w:bookmarkEnd w:id="248"/>
      <w:bookmarkEnd w:id="249"/>
      <w:bookmarkEnd w:id="250"/>
    </w:p>
    <w:p>
      <w:pPr>
        <w:autoSpaceDE w:val="0"/>
        <w:spacing w:line="360" w:lineRule="auto"/>
        <w:ind w:firstLine="480" w:firstLineChars="200"/>
        <w:rPr>
          <w:rFonts w:ascii="Times New Roman" w:hAnsi="Times New Roman" w:eastAsia="宋体" w:cs="Times New Roman"/>
          <w:sz w:val="24"/>
          <w:szCs w:val="24"/>
        </w:rPr>
      </w:pPr>
      <w:bookmarkStart w:id="251" w:name="PO_2101"/>
      <w:bookmarkEnd w:id="251"/>
      <w:r>
        <w:rPr>
          <w:rFonts w:hint="eastAsia" w:ascii="Times New Roman" w:hAnsi="Times New Roman" w:eastAsia="宋体" w:cs="Times New Roman"/>
          <w:sz w:val="24"/>
          <w:szCs w:val="24"/>
        </w:rPr>
        <w:t>从学校提供的就业教育及服务的参与情况来看，毕业生参与比例最高的前三项就业服务依次为：就业实习/实践（87.18%），就业指导课程（85.92%），校园招聘会/宣讲会（78.48%）。</w:t>
      </w:r>
    </w:p>
    <w:p>
      <w:pPr>
        <w:autoSpaceDE w:val="0"/>
        <w:spacing w:line="360" w:lineRule="auto"/>
        <w:ind w:firstLine="480" w:firstLineChars="200"/>
        <w:rPr>
          <w:rFonts w:ascii="Times New Roman" w:hAnsi="Times New Roman" w:eastAsia="宋体" w:cs="Times New Roman"/>
          <w:sz w:val="24"/>
          <w:szCs w:val="24"/>
        </w:rPr>
      </w:pPr>
      <w:bookmarkStart w:id="252" w:name="PO_2102"/>
      <w:bookmarkEnd w:id="252"/>
      <w:r>
        <w:rPr>
          <w:rFonts w:hint="eastAsia" w:ascii="Times New Roman" w:hAnsi="Times New Roman" w:eastAsia="宋体" w:cs="Times New Roman"/>
          <w:sz w:val="24"/>
          <w:szCs w:val="24"/>
        </w:rPr>
        <w:t>从毕业生对参与就业教育及服务的满意度评价看，满意度最高的前三项依次为：困难帮扶，个体职业辅导，团体职业辅导。</w:t>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表3-2 抽样调查的2017届毕业生就业教育及服务的参与情况和满意程度</w:t>
      </w:r>
    </w:p>
    <w:tbl>
      <w:tblPr>
        <w:tblStyle w:val="27"/>
        <w:tblW w:w="8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624"/>
        <w:gridCol w:w="624"/>
        <w:gridCol w:w="624"/>
        <w:gridCol w:w="624"/>
        <w:gridCol w:w="624"/>
        <w:gridCol w:w="624"/>
        <w:gridCol w:w="624"/>
        <w:gridCol w:w="624"/>
        <w:gridCol w:w="624"/>
        <w:gridCol w:w="624"/>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84" w:type="dxa"/>
            <w:vMerge w:val="restart"/>
            <w:tcBorders>
              <w:top w:val="single" w:color="4BACC6" w:sz="8" w:space="0"/>
              <w:left w:val="single" w:color="4BACC6" w:sz="8" w:space="0"/>
              <w:bottom w:val="single" w:color="FFFFFF" w:sz="4" w:space="0"/>
              <w:right w:val="single" w:color="4BACC6" w:sz="8" w:space="0"/>
            </w:tcBorders>
            <w:shd w:val="clear" w:color="auto" w:fill="4BACC6"/>
            <w:tcMar>
              <w:top w:w="0" w:type="dxa"/>
              <w:left w:w="57" w:type="dxa"/>
              <w:bottom w:w="0" w:type="dxa"/>
              <w:right w:w="57" w:type="dxa"/>
            </w:tcMar>
            <w:vAlign w:val="center"/>
          </w:tcPr>
          <w:p>
            <w:pPr>
              <w:widowControl/>
              <w:jc w:val="left"/>
              <w:textAlignment w:val="top"/>
              <w:rPr>
                <w:rFonts w:ascii="Arial" w:hAnsi="Arial" w:eastAsia="宋体"/>
                <w:b/>
                <w:bCs/>
                <w:sz w:val="20"/>
              </w:rPr>
            </w:pPr>
          </w:p>
        </w:tc>
        <w:tc>
          <w:tcPr>
            <w:tcW w:w="624" w:type="dxa"/>
            <w:vMerge w:val="restart"/>
            <w:tcBorders>
              <w:top w:val="single" w:color="4BACC6" w:sz="8" w:space="0"/>
              <w:left w:val="single" w:color="4BACC6" w:sz="8" w:space="0"/>
              <w:bottom w:val="single" w:color="FFFFFF" w:sz="4" w:space="0"/>
              <w:right w:val="single" w:color="4BACC6" w:sz="8" w:space="0"/>
            </w:tcBorders>
            <w:shd w:val="clear" w:color="auto" w:fill="4BACC6"/>
            <w:tcMar>
              <w:top w:w="0" w:type="dxa"/>
              <w:left w:w="57" w:type="dxa"/>
              <w:bottom w:w="0" w:type="dxa"/>
              <w:right w:w="57" w:type="dxa"/>
            </w:tcMar>
            <w:vAlign w:val="center"/>
          </w:tcPr>
          <w:p>
            <w:pPr>
              <w:widowControl/>
              <w:jc w:val="center"/>
              <w:textAlignment w:val="top"/>
              <w:rPr>
                <w:rFonts w:ascii="Arial" w:hAnsi="Arial" w:eastAsia="宋体"/>
                <w:b/>
                <w:bCs/>
                <w:sz w:val="20"/>
              </w:rPr>
            </w:pPr>
            <w:r>
              <w:rPr>
                <w:rFonts w:hint="eastAsia" w:ascii="Arial" w:hAnsi="Arial" w:eastAsia="宋体"/>
                <w:b/>
                <w:bCs/>
                <w:sz w:val="20"/>
              </w:rPr>
              <w:t>N</w:t>
            </w:r>
          </w:p>
        </w:tc>
        <w:tc>
          <w:tcPr>
            <w:tcW w:w="1248" w:type="dxa"/>
            <w:gridSpan w:val="2"/>
            <w:tcBorders>
              <w:top w:val="single" w:color="4BACC6" w:sz="8" w:space="0"/>
              <w:left w:val="single" w:color="4BACC6" w:sz="8" w:space="0"/>
              <w:bottom w:val="single" w:color="FFFFFF" w:sz="4" w:space="0"/>
              <w:right w:val="single" w:color="4BACC6" w:sz="8" w:space="0"/>
            </w:tcBorders>
            <w:shd w:val="clear" w:color="auto" w:fill="4BACC6"/>
            <w:tcMar>
              <w:top w:w="0" w:type="dxa"/>
              <w:left w:w="57" w:type="dxa"/>
              <w:bottom w:w="0" w:type="dxa"/>
              <w:right w:w="57" w:type="dxa"/>
            </w:tcMar>
            <w:vAlign w:val="center"/>
          </w:tcPr>
          <w:p>
            <w:pPr>
              <w:widowControl/>
              <w:jc w:val="center"/>
              <w:textAlignment w:val="top"/>
              <w:rPr>
                <w:rFonts w:ascii="Arial" w:hAnsi="Arial" w:eastAsia="宋体"/>
                <w:b/>
                <w:bCs/>
                <w:sz w:val="20"/>
              </w:rPr>
            </w:pPr>
            <w:r>
              <w:rPr>
                <w:rFonts w:hint="eastAsia" w:ascii="Arial" w:hAnsi="Arial" w:eastAsia="宋体"/>
                <w:b/>
                <w:bCs/>
                <w:sz w:val="20"/>
              </w:rPr>
              <w:t>参与情况(%)</w:t>
            </w:r>
          </w:p>
        </w:tc>
        <w:tc>
          <w:tcPr>
            <w:tcW w:w="624" w:type="dxa"/>
            <w:vMerge w:val="restart"/>
            <w:tcBorders>
              <w:top w:val="single" w:color="4BACC6" w:sz="8" w:space="0"/>
              <w:left w:val="single" w:color="4BACC6" w:sz="8" w:space="0"/>
              <w:bottom w:val="single" w:color="FFFFFF" w:sz="4" w:space="0"/>
              <w:right w:val="single" w:color="4BACC6" w:sz="8" w:space="0"/>
            </w:tcBorders>
            <w:shd w:val="clear" w:color="auto" w:fill="4BACC6"/>
            <w:tcMar>
              <w:top w:w="0" w:type="dxa"/>
              <w:left w:w="57" w:type="dxa"/>
              <w:bottom w:w="0" w:type="dxa"/>
              <w:right w:w="57" w:type="dxa"/>
            </w:tcMar>
            <w:vAlign w:val="center"/>
          </w:tcPr>
          <w:p>
            <w:pPr>
              <w:widowControl/>
              <w:jc w:val="center"/>
              <w:textAlignment w:val="top"/>
              <w:rPr>
                <w:rFonts w:ascii="Arial" w:hAnsi="Arial" w:eastAsia="宋体"/>
                <w:b/>
                <w:bCs/>
                <w:sz w:val="20"/>
              </w:rPr>
            </w:pPr>
            <w:r>
              <w:rPr>
                <w:rFonts w:hint="eastAsia" w:ascii="Arial" w:hAnsi="Arial" w:eastAsia="宋体"/>
                <w:b/>
                <w:bCs/>
                <w:sz w:val="20"/>
              </w:rPr>
              <w:t>N</w:t>
            </w:r>
          </w:p>
        </w:tc>
        <w:tc>
          <w:tcPr>
            <w:tcW w:w="624" w:type="dxa"/>
            <w:vMerge w:val="restart"/>
            <w:tcBorders>
              <w:top w:val="single" w:color="4BACC6" w:sz="8" w:space="0"/>
              <w:left w:val="single" w:color="4BACC6" w:sz="8" w:space="0"/>
              <w:bottom w:val="single" w:color="FFFFFF" w:sz="4" w:space="0"/>
              <w:right w:val="single" w:color="4BACC6" w:sz="8" w:space="0"/>
            </w:tcBorders>
            <w:shd w:val="clear" w:color="auto" w:fill="4BACC6"/>
            <w:tcMar>
              <w:top w:w="0" w:type="dxa"/>
              <w:left w:w="57" w:type="dxa"/>
              <w:bottom w:w="0" w:type="dxa"/>
              <w:right w:w="57" w:type="dxa"/>
            </w:tcMar>
            <w:vAlign w:val="center"/>
          </w:tcPr>
          <w:p>
            <w:pPr>
              <w:widowControl/>
              <w:jc w:val="center"/>
              <w:textAlignment w:val="top"/>
              <w:rPr>
                <w:rFonts w:ascii="Arial" w:hAnsi="Arial" w:eastAsia="宋体"/>
                <w:b/>
                <w:bCs/>
                <w:sz w:val="20"/>
              </w:rPr>
            </w:pPr>
            <w:r>
              <w:rPr>
                <w:rFonts w:hint="eastAsia" w:ascii="Arial" w:hAnsi="Arial" w:eastAsia="宋体"/>
                <w:b/>
                <w:bCs/>
                <w:sz w:val="20"/>
              </w:rPr>
              <w:t>均值</w:t>
            </w:r>
          </w:p>
        </w:tc>
        <w:tc>
          <w:tcPr>
            <w:tcW w:w="624" w:type="dxa"/>
            <w:vMerge w:val="restart"/>
            <w:tcBorders>
              <w:top w:val="single" w:color="4BACC6" w:sz="8" w:space="0"/>
              <w:left w:val="single" w:color="4BACC6" w:sz="8" w:space="0"/>
              <w:bottom w:val="single" w:color="FFFFFF" w:sz="4" w:space="0"/>
              <w:right w:val="single" w:color="4BACC6" w:sz="8" w:space="0"/>
            </w:tcBorders>
            <w:shd w:val="clear" w:color="auto" w:fill="4BACC6"/>
            <w:tcMar>
              <w:top w:w="0" w:type="dxa"/>
              <w:left w:w="57" w:type="dxa"/>
              <w:bottom w:w="0" w:type="dxa"/>
              <w:right w:w="57" w:type="dxa"/>
            </w:tcMar>
            <w:vAlign w:val="center"/>
          </w:tcPr>
          <w:p>
            <w:pPr>
              <w:widowControl/>
              <w:jc w:val="center"/>
              <w:textAlignment w:val="top"/>
              <w:rPr>
                <w:rFonts w:ascii="Arial" w:hAnsi="Arial" w:eastAsia="宋体"/>
                <w:b/>
                <w:bCs/>
                <w:sz w:val="20"/>
              </w:rPr>
            </w:pPr>
            <w:r>
              <w:rPr>
                <w:rFonts w:hint="eastAsia" w:ascii="Arial" w:hAnsi="Arial" w:eastAsia="宋体"/>
                <w:b/>
                <w:bCs/>
                <w:sz w:val="20"/>
              </w:rPr>
              <w:t>标准差</w:t>
            </w:r>
          </w:p>
        </w:tc>
        <w:tc>
          <w:tcPr>
            <w:tcW w:w="3120" w:type="dxa"/>
            <w:gridSpan w:val="5"/>
            <w:tcBorders>
              <w:top w:val="single" w:color="4BACC6" w:sz="8" w:space="0"/>
              <w:left w:val="single" w:color="4BACC6" w:sz="8" w:space="0"/>
              <w:bottom w:val="single" w:color="FFFFFF" w:sz="4" w:space="0"/>
              <w:right w:val="single" w:color="4BACC6" w:sz="8" w:space="0"/>
            </w:tcBorders>
            <w:shd w:val="clear" w:color="auto" w:fill="4BACC6"/>
            <w:tcMar>
              <w:top w:w="0" w:type="dxa"/>
              <w:left w:w="57" w:type="dxa"/>
              <w:bottom w:w="0" w:type="dxa"/>
              <w:right w:w="57" w:type="dxa"/>
            </w:tcMar>
            <w:vAlign w:val="center"/>
          </w:tcPr>
          <w:p>
            <w:pPr>
              <w:widowControl/>
              <w:jc w:val="center"/>
              <w:textAlignment w:val="top"/>
              <w:rPr>
                <w:rFonts w:ascii="Arial" w:hAnsi="Arial" w:eastAsia="宋体"/>
                <w:b/>
                <w:bCs/>
                <w:sz w:val="20"/>
              </w:rPr>
            </w:pPr>
            <w:r>
              <w:rPr>
                <w:rFonts w:hint="eastAsia" w:ascii="Arial" w:hAnsi="Arial" w:eastAsia="宋体"/>
                <w:b/>
                <w:bCs/>
                <w:sz w:val="20"/>
              </w:rPr>
              <w:t>满意程度(%)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84" w:type="dxa"/>
            <w:vMerge w:val="continue"/>
            <w:tcBorders>
              <w:top w:val="single" w:color="FFFFFF" w:sz="4"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left"/>
              <w:textAlignment w:val="top"/>
              <w:rPr>
                <w:rFonts w:ascii="Arial" w:hAnsi="Arial" w:eastAsia="宋体" w:cs="宋体"/>
                <w:b/>
                <w:bCs/>
                <w:kern w:val="0"/>
                <w:sz w:val="20"/>
                <w:szCs w:val="21"/>
                <w:lang w:bidi="ar"/>
              </w:rPr>
            </w:pPr>
          </w:p>
        </w:tc>
        <w:tc>
          <w:tcPr>
            <w:tcW w:w="624" w:type="dxa"/>
            <w:vMerge w:val="continue"/>
            <w:tcBorders>
              <w:top w:val="single" w:color="FFFFFF" w:sz="4"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cs="宋体"/>
                <w:b/>
                <w:bCs/>
                <w:kern w:val="0"/>
                <w:sz w:val="20"/>
                <w:szCs w:val="21"/>
                <w:lang w:bidi="ar"/>
              </w:rPr>
            </w:pPr>
          </w:p>
        </w:tc>
        <w:tc>
          <w:tcPr>
            <w:tcW w:w="624" w:type="dxa"/>
            <w:tcBorders>
              <w:top w:val="single" w:color="FFFFFF" w:sz="4"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cs="Times New Roman"/>
                <w:b/>
                <w:bCs/>
                <w:kern w:val="0"/>
                <w:sz w:val="20"/>
                <w:szCs w:val="21"/>
                <w:lang w:bidi="ar"/>
              </w:rPr>
            </w:pPr>
            <w:r>
              <w:rPr>
                <w:rFonts w:hint="eastAsia" w:ascii="Arial" w:hAnsi="Arial" w:eastAsia="宋体" w:cs="Times New Roman"/>
                <w:b/>
                <w:bCs/>
                <w:kern w:val="0"/>
                <w:sz w:val="20"/>
                <w:szCs w:val="21"/>
                <w:lang w:bidi="ar"/>
              </w:rPr>
              <w:t>参加过</w:t>
            </w:r>
          </w:p>
        </w:tc>
        <w:tc>
          <w:tcPr>
            <w:tcW w:w="624" w:type="dxa"/>
            <w:tcBorders>
              <w:top w:val="single" w:color="FFFFFF" w:sz="4"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cs="Times New Roman"/>
                <w:b/>
                <w:bCs/>
                <w:kern w:val="0"/>
                <w:sz w:val="20"/>
                <w:szCs w:val="21"/>
                <w:lang w:bidi="ar"/>
              </w:rPr>
            </w:pPr>
            <w:r>
              <w:rPr>
                <w:rFonts w:hint="eastAsia" w:ascii="Arial" w:hAnsi="Arial" w:eastAsia="宋体" w:cs="Times New Roman"/>
                <w:b/>
                <w:bCs/>
                <w:kern w:val="0"/>
                <w:sz w:val="20"/>
                <w:szCs w:val="21"/>
                <w:lang w:bidi="ar"/>
              </w:rPr>
              <w:t>未参加过</w:t>
            </w:r>
          </w:p>
        </w:tc>
        <w:tc>
          <w:tcPr>
            <w:tcW w:w="624" w:type="dxa"/>
            <w:vMerge w:val="continue"/>
            <w:tcBorders>
              <w:top w:val="single" w:color="FFFFFF" w:sz="4"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cs="Times New Roman"/>
                <w:b/>
                <w:bCs/>
                <w:kern w:val="0"/>
                <w:sz w:val="20"/>
                <w:szCs w:val="21"/>
                <w:lang w:bidi="ar"/>
              </w:rPr>
            </w:pPr>
          </w:p>
        </w:tc>
        <w:tc>
          <w:tcPr>
            <w:tcW w:w="624" w:type="dxa"/>
            <w:vMerge w:val="continue"/>
            <w:tcBorders>
              <w:top w:val="single" w:color="FFFFFF" w:sz="4"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cs="Times New Roman"/>
                <w:b/>
                <w:bCs/>
                <w:kern w:val="0"/>
                <w:sz w:val="20"/>
                <w:szCs w:val="21"/>
                <w:lang w:bidi="ar"/>
              </w:rPr>
            </w:pPr>
          </w:p>
        </w:tc>
        <w:tc>
          <w:tcPr>
            <w:tcW w:w="624" w:type="dxa"/>
            <w:vMerge w:val="continue"/>
            <w:tcBorders>
              <w:top w:val="single" w:color="FFFFFF" w:sz="4"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cs="Times New Roman"/>
                <w:b/>
                <w:bCs/>
                <w:kern w:val="0"/>
                <w:sz w:val="20"/>
                <w:szCs w:val="21"/>
                <w:lang w:bidi="ar"/>
              </w:rPr>
            </w:pPr>
          </w:p>
        </w:tc>
        <w:tc>
          <w:tcPr>
            <w:tcW w:w="624" w:type="dxa"/>
            <w:tcBorders>
              <w:top w:val="single" w:color="FFFFFF" w:sz="4"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cs="Times New Roman"/>
                <w:b/>
                <w:bCs/>
                <w:kern w:val="0"/>
                <w:sz w:val="20"/>
                <w:szCs w:val="21"/>
                <w:lang w:bidi="ar"/>
              </w:rPr>
            </w:pPr>
            <w:r>
              <w:rPr>
                <w:rFonts w:hint="eastAsia" w:ascii="Arial" w:hAnsi="Arial" w:eastAsia="宋体" w:cs="Times New Roman"/>
                <w:b/>
                <w:bCs/>
                <w:kern w:val="0"/>
                <w:sz w:val="20"/>
                <w:szCs w:val="21"/>
                <w:lang w:bidi="ar"/>
              </w:rPr>
              <w:t>很满意</w:t>
            </w:r>
          </w:p>
        </w:tc>
        <w:tc>
          <w:tcPr>
            <w:tcW w:w="624" w:type="dxa"/>
            <w:tcBorders>
              <w:top w:val="single" w:color="FFFFFF" w:sz="4"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cs="Times New Roman"/>
                <w:b/>
                <w:bCs/>
                <w:kern w:val="0"/>
                <w:sz w:val="20"/>
                <w:szCs w:val="21"/>
                <w:lang w:bidi="ar"/>
              </w:rPr>
            </w:pPr>
            <w:r>
              <w:rPr>
                <w:rFonts w:hint="eastAsia" w:ascii="Arial" w:hAnsi="Arial" w:eastAsia="宋体" w:cs="Times New Roman"/>
                <w:b/>
                <w:bCs/>
                <w:kern w:val="0"/>
                <w:sz w:val="20"/>
                <w:szCs w:val="21"/>
                <w:lang w:bidi="ar"/>
              </w:rPr>
              <w:t>满意</w:t>
            </w:r>
          </w:p>
        </w:tc>
        <w:tc>
          <w:tcPr>
            <w:tcW w:w="624" w:type="dxa"/>
            <w:tcBorders>
              <w:top w:val="single" w:color="FFFFFF" w:sz="4"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cs="Times New Roman"/>
                <w:b/>
                <w:bCs/>
                <w:kern w:val="0"/>
                <w:sz w:val="20"/>
                <w:szCs w:val="21"/>
                <w:lang w:bidi="ar"/>
              </w:rPr>
            </w:pPr>
            <w:r>
              <w:rPr>
                <w:rFonts w:hint="eastAsia" w:ascii="Arial" w:hAnsi="Arial" w:eastAsia="宋体" w:cs="Times New Roman"/>
                <w:b/>
                <w:bCs/>
                <w:kern w:val="0"/>
                <w:sz w:val="20"/>
                <w:szCs w:val="21"/>
                <w:lang w:bidi="ar"/>
              </w:rPr>
              <w:t>不好说</w:t>
            </w:r>
          </w:p>
        </w:tc>
        <w:tc>
          <w:tcPr>
            <w:tcW w:w="624" w:type="dxa"/>
            <w:tcBorders>
              <w:top w:val="single" w:color="FFFFFF" w:sz="4"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cs="Times New Roman"/>
                <w:b/>
                <w:bCs/>
                <w:kern w:val="0"/>
                <w:sz w:val="20"/>
                <w:szCs w:val="21"/>
                <w:lang w:bidi="ar"/>
              </w:rPr>
            </w:pPr>
            <w:r>
              <w:rPr>
                <w:rFonts w:hint="eastAsia" w:ascii="Arial" w:hAnsi="Arial" w:eastAsia="宋体" w:cs="Times New Roman"/>
                <w:b/>
                <w:bCs/>
                <w:kern w:val="0"/>
                <w:sz w:val="20"/>
                <w:szCs w:val="21"/>
                <w:lang w:bidi="ar"/>
              </w:rPr>
              <w:t>不满意</w:t>
            </w:r>
          </w:p>
        </w:tc>
        <w:tc>
          <w:tcPr>
            <w:tcW w:w="624" w:type="dxa"/>
            <w:tcBorders>
              <w:top w:val="single" w:color="FFFFFF" w:sz="4"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cs="Times New Roman"/>
                <w:b/>
                <w:bCs/>
                <w:kern w:val="0"/>
                <w:sz w:val="20"/>
                <w:szCs w:val="21"/>
                <w:lang w:bidi="ar"/>
              </w:rPr>
            </w:pPr>
            <w:r>
              <w:rPr>
                <w:rFonts w:hint="eastAsia" w:ascii="Arial" w:hAnsi="Arial" w:eastAsia="宋体" w:cs="Times New Roman"/>
                <w:b/>
                <w:bCs/>
                <w:kern w:val="0"/>
                <w:sz w:val="20"/>
                <w:szCs w:val="21"/>
                <w:lang w:bidi="ar"/>
              </w:rPr>
              <w:t>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8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left"/>
              <w:textAlignment w:val="top"/>
              <w:rPr>
                <w:rFonts w:ascii="Arial" w:hAnsi="Arial" w:eastAsia="宋体" w:cs="宋体"/>
                <w:kern w:val="0"/>
                <w:sz w:val="20"/>
                <w:szCs w:val="21"/>
                <w:lang w:bidi="ar"/>
              </w:rPr>
            </w:pPr>
            <w:r>
              <w:rPr>
                <w:rFonts w:hint="eastAsia" w:ascii="Arial" w:hAnsi="Arial" w:eastAsia="宋体" w:cs="宋体"/>
                <w:kern w:val="0"/>
                <w:sz w:val="20"/>
                <w:szCs w:val="21"/>
                <w:lang w:bidi="ar"/>
              </w:rPr>
              <w:t>校园招聘会</w:t>
            </w:r>
            <w:r>
              <w:rPr>
                <w:rFonts w:ascii="Arial" w:hAnsi="Arial" w:eastAsia="宋体" w:cs="Times New Roman"/>
                <w:kern w:val="0"/>
                <w:sz w:val="20"/>
                <w:szCs w:val="21"/>
                <w:lang w:bidi="ar"/>
              </w:rPr>
              <w:t>/</w:t>
            </w:r>
            <w:r>
              <w:rPr>
                <w:rFonts w:hint="eastAsia" w:ascii="Arial" w:hAnsi="Arial" w:eastAsia="宋体" w:cs="宋体"/>
                <w:kern w:val="0"/>
                <w:sz w:val="20"/>
                <w:szCs w:val="21"/>
                <w:lang w:bidi="ar"/>
              </w:rPr>
              <w:t>宣讲会</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cs="宋体"/>
                <w:kern w:val="0"/>
                <w:sz w:val="20"/>
                <w:szCs w:val="21"/>
                <w:lang w:bidi="ar"/>
              </w:rPr>
            </w:pPr>
            <w:r>
              <w:rPr>
                <w:rFonts w:hint="eastAsia" w:ascii="Arial" w:hAnsi="Arial" w:eastAsia="宋体" w:cs="宋体"/>
                <w:kern w:val="0"/>
                <w:sz w:val="20"/>
                <w:szCs w:val="21"/>
                <w:lang w:bidi="ar"/>
              </w:rPr>
              <w:t>1317</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cs="Times New Roman"/>
                <w:kern w:val="0"/>
                <w:sz w:val="20"/>
                <w:szCs w:val="21"/>
                <w:lang w:bidi="ar"/>
              </w:rPr>
            </w:pPr>
            <w:r>
              <w:rPr>
                <w:rFonts w:ascii="Arial" w:hAnsi="Arial" w:eastAsia="宋体" w:cs="Times New Roman"/>
                <w:kern w:val="0"/>
                <w:sz w:val="20"/>
                <w:szCs w:val="21"/>
                <w:lang w:bidi="ar"/>
              </w:rPr>
              <w:t>78.48</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cs="Times New Roman"/>
                <w:kern w:val="0"/>
                <w:sz w:val="20"/>
                <w:szCs w:val="21"/>
                <w:lang w:bidi="ar"/>
              </w:rPr>
            </w:pPr>
            <w:r>
              <w:rPr>
                <w:rFonts w:ascii="Arial" w:hAnsi="Arial" w:eastAsia="宋体" w:cs="Times New Roman"/>
                <w:kern w:val="0"/>
                <w:sz w:val="20"/>
                <w:szCs w:val="21"/>
                <w:lang w:bidi="ar"/>
              </w:rPr>
              <w:t>21.52</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cs="Times New Roman"/>
                <w:kern w:val="0"/>
                <w:sz w:val="20"/>
                <w:szCs w:val="21"/>
                <w:lang w:bidi="ar"/>
              </w:rPr>
            </w:pPr>
            <w:r>
              <w:rPr>
                <w:rFonts w:ascii="Arial" w:hAnsi="Arial" w:eastAsia="宋体" w:cs="Times New Roman"/>
                <w:kern w:val="0"/>
                <w:sz w:val="20"/>
                <w:szCs w:val="21"/>
                <w:lang w:bidi="ar"/>
              </w:rPr>
              <w:t>496</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cs="Times New Roman"/>
                <w:kern w:val="0"/>
                <w:sz w:val="20"/>
                <w:szCs w:val="21"/>
                <w:lang w:bidi="ar"/>
              </w:rPr>
            </w:pPr>
            <w:r>
              <w:rPr>
                <w:rFonts w:ascii="Arial" w:hAnsi="Arial" w:eastAsia="宋体" w:cs="Times New Roman"/>
                <w:kern w:val="0"/>
                <w:sz w:val="20"/>
                <w:szCs w:val="21"/>
                <w:lang w:bidi="ar"/>
              </w:rPr>
              <w:t>3.93</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cs="Times New Roman"/>
                <w:kern w:val="0"/>
                <w:sz w:val="20"/>
                <w:szCs w:val="21"/>
                <w:lang w:bidi="ar"/>
              </w:rPr>
            </w:pPr>
            <w:r>
              <w:rPr>
                <w:rFonts w:ascii="Arial" w:hAnsi="Arial" w:eastAsia="宋体" w:cs="Times New Roman"/>
                <w:kern w:val="0"/>
                <w:sz w:val="20"/>
                <w:szCs w:val="21"/>
                <w:lang w:bidi="ar"/>
              </w:rPr>
              <w:t>0.93</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cs="Times New Roman"/>
                <w:kern w:val="0"/>
                <w:sz w:val="20"/>
                <w:szCs w:val="21"/>
                <w:lang w:bidi="ar"/>
              </w:rPr>
            </w:pPr>
            <w:r>
              <w:rPr>
                <w:rFonts w:ascii="Arial" w:hAnsi="Arial" w:eastAsia="宋体" w:cs="Times New Roman"/>
                <w:kern w:val="0"/>
                <w:sz w:val="20"/>
                <w:szCs w:val="21"/>
                <w:lang w:bidi="ar"/>
              </w:rPr>
              <w:t>28.02</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cs="Times New Roman"/>
                <w:kern w:val="0"/>
                <w:sz w:val="20"/>
                <w:szCs w:val="21"/>
                <w:lang w:bidi="ar"/>
              </w:rPr>
            </w:pPr>
            <w:r>
              <w:rPr>
                <w:rFonts w:ascii="Arial" w:hAnsi="Arial" w:eastAsia="宋体" w:cs="Times New Roman"/>
                <w:kern w:val="0"/>
                <w:sz w:val="20"/>
                <w:szCs w:val="21"/>
                <w:lang w:bidi="ar"/>
              </w:rPr>
              <w:t>47.18</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cs="Times New Roman"/>
                <w:kern w:val="0"/>
                <w:sz w:val="20"/>
                <w:szCs w:val="21"/>
                <w:lang w:bidi="ar"/>
              </w:rPr>
            </w:pPr>
            <w:r>
              <w:rPr>
                <w:rFonts w:ascii="Arial" w:hAnsi="Arial" w:eastAsia="宋体" w:cs="Times New Roman"/>
                <w:kern w:val="0"/>
                <w:sz w:val="20"/>
                <w:szCs w:val="21"/>
                <w:lang w:bidi="ar"/>
              </w:rPr>
              <w:t>15.32</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cs="Times New Roman"/>
                <w:kern w:val="0"/>
                <w:sz w:val="20"/>
                <w:szCs w:val="21"/>
                <w:lang w:bidi="ar"/>
              </w:rPr>
            </w:pPr>
            <w:r>
              <w:rPr>
                <w:rFonts w:ascii="Arial" w:hAnsi="Arial" w:eastAsia="宋体" w:cs="Times New Roman"/>
                <w:kern w:val="0"/>
                <w:sz w:val="20"/>
                <w:szCs w:val="21"/>
                <w:lang w:bidi="ar"/>
              </w:rPr>
              <w:t>8.27</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cs="Times New Roman"/>
                <w:kern w:val="0"/>
                <w:sz w:val="20"/>
                <w:szCs w:val="21"/>
                <w:lang w:bidi="ar"/>
              </w:rPr>
            </w:pPr>
            <w:r>
              <w:rPr>
                <w:rFonts w:ascii="Arial" w:hAnsi="Arial" w:eastAsia="宋体" w:cs="Times New Roman"/>
                <w:kern w:val="0"/>
                <w:sz w:val="20"/>
                <w:szCs w:val="21"/>
                <w:lang w:bidi="ar"/>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8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left"/>
              <w:textAlignment w:val="top"/>
              <w:rPr>
                <w:rFonts w:ascii="Arial" w:hAnsi="Arial" w:eastAsia="宋体"/>
                <w:sz w:val="20"/>
              </w:rPr>
            </w:pPr>
            <w:r>
              <w:rPr>
                <w:rFonts w:hint="eastAsia" w:ascii="Arial" w:hAnsi="Arial" w:eastAsia="宋体" w:cs="宋体"/>
                <w:kern w:val="0"/>
                <w:sz w:val="20"/>
                <w:szCs w:val="21"/>
                <w:lang w:bidi="ar"/>
              </w:rPr>
              <w:t>就业信息服务</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hint="eastAsia" w:ascii="Arial" w:hAnsi="Arial" w:eastAsia="宋体" w:cs="宋体"/>
                <w:kern w:val="0"/>
                <w:sz w:val="20"/>
                <w:szCs w:val="21"/>
                <w:lang w:bidi="ar"/>
              </w:rPr>
              <w:t>1317</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70.41</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29.59</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445</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4.05</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0.81</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28.76</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52.36</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14.61</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3.37</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8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left"/>
              <w:textAlignment w:val="top"/>
              <w:rPr>
                <w:rFonts w:ascii="Arial" w:hAnsi="Arial" w:eastAsia="宋体"/>
                <w:sz w:val="20"/>
              </w:rPr>
            </w:pPr>
            <w:r>
              <w:rPr>
                <w:rFonts w:hint="eastAsia" w:ascii="Arial" w:hAnsi="Arial" w:eastAsia="宋体" w:cs="宋体"/>
                <w:kern w:val="0"/>
                <w:sz w:val="20"/>
                <w:szCs w:val="21"/>
                <w:lang w:bidi="ar"/>
              </w:rPr>
              <w:t>职业测评</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hint="eastAsia" w:ascii="Arial" w:hAnsi="Arial" w:eastAsia="宋体" w:cs="宋体"/>
                <w:kern w:val="0"/>
                <w:sz w:val="20"/>
                <w:szCs w:val="21"/>
                <w:lang w:bidi="ar"/>
              </w:rPr>
              <w:t>1317</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43.83</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56.17</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276</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4.21</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0.77</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38.41</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47.83</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11.23</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1.81</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8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left"/>
              <w:textAlignment w:val="top"/>
              <w:rPr>
                <w:rFonts w:ascii="Arial" w:hAnsi="Arial" w:eastAsia="宋体"/>
                <w:sz w:val="20"/>
              </w:rPr>
            </w:pPr>
            <w:r>
              <w:rPr>
                <w:rFonts w:hint="eastAsia" w:ascii="Arial" w:hAnsi="Arial" w:eastAsia="宋体" w:cs="宋体"/>
                <w:kern w:val="0"/>
                <w:sz w:val="20"/>
                <w:szCs w:val="21"/>
                <w:lang w:bidi="ar"/>
              </w:rPr>
              <w:t>就业指导课程</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hint="eastAsia" w:ascii="Arial" w:hAnsi="Arial" w:eastAsia="宋体" w:cs="宋体"/>
                <w:kern w:val="0"/>
                <w:sz w:val="20"/>
                <w:szCs w:val="21"/>
                <w:lang w:bidi="ar"/>
              </w:rPr>
              <w:t>1317</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85.92</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14.08</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542</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4.04</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0.83</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28.41</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53.14</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13.65</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3.14</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8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left"/>
              <w:textAlignment w:val="top"/>
              <w:rPr>
                <w:rFonts w:ascii="Arial" w:hAnsi="Arial" w:eastAsia="宋体"/>
                <w:sz w:val="20"/>
              </w:rPr>
            </w:pPr>
            <w:r>
              <w:rPr>
                <w:rFonts w:hint="eastAsia" w:ascii="Arial" w:hAnsi="Arial" w:eastAsia="宋体" w:cs="宋体"/>
                <w:kern w:val="0"/>
                <w:sz w:val="20"/>
                <w:szCs w:val="21"/>
                <w:lang w:bidi="ar"/>
              </w:rPr>
              <w:t>就业指导讲座</w:t>
            </w:r>
            <w:r>
              <w:rPr>
                <w:rFonts w:hint="eastAsia" w:ascii="Arial" w:hAnsi="Arial" w:eastAsia="宋体" w:cs="宋体"/>
                <w:kern w:val="0"/>
                <w:sz w:val="20"/>
                <w:szCs w:val="21"/>
                <w:lang w:bidi="ar"/>
              </w:rPr>
              <w:br w:type="textWrapping"/>
            </w:r>
            <w:r>
              <w:rPr>
                <w:rFonts w:hint="eastAsia" w:ascii="Arial" w:hAnsi="Arial" w:eastAsia="宋体" w:cs="宋体"/>
                <w:kern w:val="0"/>
                <w:sz w:val="20"/>
                <w:szCs w:val="21"/>
                <w:lang w:bidi="ar"/>
              </w:rPr>
              <w:t>工作坊与活动</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hint="eastAsia" w:ascii="Arial" w:hAnsi="Arial" w:eastAsia="宋体" w:cs="宋体"/>
                <w:kern w:val="0"/>
                <w:sz w:val="20"/>
                <w:szCs w:val="21"/>
                <w:lang w:bidi="ar"/>
              </w:rPr>
              <w:t>1317</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74.05</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25.95</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467</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4.03</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0.83</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29.55</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49.89</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16.06</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3.43</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8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left"/>
              <w:textAlignment w:val="top"/>
              <w:rPr>
                <w:rFonts w:ascii="Arial" w:hAnsi="Arial" w:eastAsia="宋体"/>
                <w:sz w:val="20"/>
              </w:rPr>
            </w:pPr>
            <w:r>
              <w:rPr>
                <w:rFonts w:hint="eastAsia" w:ascii="Arial" w:hAnsi="Arial" w:eastAsia="宋体" w:cs="宋体"/>
                <w:kern w:val="0"/>
                <w:sz w:val="20"/>
                <w:szCs w:val="21"/>
                <w:lang w:bidi="ar"/>
              </w:rPr>
              <w:t>团体职业辅导</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hint="eastAsia" w:ascii="Arial" w:hAnsi="Arial" w:eastAsia="宋体" w:cs="宋体"/>
                <w:kern w:val="0"/>
                <w:sz w:val="20"/>
                <w:szCs w:val="21"/>
                <w:lang w:bidi="ar"/>
              </w:rPr>
              <w:t>1317</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40.19</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59.81</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254</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4.24</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0.79</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40.94</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46.06</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9.84</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2.36</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8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left"/>
              <w:textAlignment w:val="top"/>
              <w:rPr>
                <w:rFonts w:ascii="Arial" w:hAnsi="Arial" w:eastAsia="宋体"/>
                <w:sz w:val="20"/>
              </w:rPr>
            </w:pPr>
            <w:r>
              <w:rPr>
                <w:rFonts w:hint="eastAsia" w:ascii="Arial" w:hAnsi="Arial" w:eastAsia="宋体" w:cs="宋体"/>
                <w:kern w:val="0"/>
                <w:sz w:val="20"/>
                <w:szCs w:val="21"/>
                <w:lang w:bidi="ar"/>
              </w:rPr>
              <w:t>个体职业辅导</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hint="eastAsia" w:ascii="Arial" w:hAnsi="Arial" w:eastAsia="宋体" w:cs="宋体"/>
                <w:kern w:val="0"/>
                <w:sz w:val="20"/>
                <w:szCs w:val="21"/>
                <w:lang w:bidi="ar"/>
              </w:rPr>
              <w:t>1317</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33.39</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66.61</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211</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4.24</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0.79</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40.76</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46.92</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9</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2.37</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8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left"/>
              <w:textAlignment w:val="top"/>
              <w:rPr>
                <w:rFonts w:ascii="Arial" w:hAnsi="Arial" w:eastAsia="宋体"/>
                <w:sz w:val="20"/>
              </w:rPr>
            </w:pPr>
            <w:r>
              <w:rPr>
                <w:rFonts w:hint="eastAsia" w:ascii="Arial" w:hAnsi="Arial" w:eastAsia="宋体" w:cs="宋体"/>
                <w:kern w:val="0"/>
                <w:sz w:val="20"/>
                <w:szCs w:val="21"/>
                <w:lang w:bidi="ar"/>
              </w:rPr>
              <w:t>困难帮扶</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hint="eastAsia" w:ascii="Arial" w:hAnsi="Arial" w:eastAsia="宋体" w:cs="宋体"/>
                <w:kern w:val="0"/>
                <w:sz w:val="20"/>
                <w:szCs w:val="21"/>
                <w:lang w:bidi="ar"/>
              </w:rPr>
              <w:t>1317</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34.18</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65.82</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216</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4.27</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0.8</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43.06</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44.91</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9.26</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1.39</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8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left"/>
              <w:textAlignment w:val="top"/>
              <w:rPr>
                <w:rFonts w:ascii="Arial" w:hAnsi="Arial" w:eastAsia="宋体"/>
                <w:sz w:val="20"/>
              </w:rPr>
            </w:pPr>
            <w:r>
              <w:rPr>
                <w:rFonts w:hint="eastAsia" w:ascii="Arial" w:hAnsi="Arial" w:eastAsia="宋体" w:cs="宋体"/>
                <w:kern w:val="0"/>
                <w:sz w:val="20"/>
                <w:szCs w:val="21"/>
                <w:lang w:bidi="ar"/>
              </w:rPr>
              <w:t>学校就业推荐</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hint="eastAsia" w:ascii="Arial" w:hAnsi="Arial" w:eastAsia="宋体" w:cs="宋体"/>
                <w:kern w:val="0"/>
                <w:sz w:val="20"/>
                <w:szCs w:val="21"/>
                <w:lang w:bidi="ar"/>
              </w:rPr>
              <w:t>1317</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54.91</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45.09</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346</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4.17</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0.82</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37.28</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47.69</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10.98</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2.89</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8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left"/>
              <w:textAlignment w:val="top"/>
              <w:rPr>
                <w:rFonts w:ascii="Arial" w:hAnsi="Arial" w:eastAsia="宋体"/>
                <w:sz w:val="20"/>
              </w:rPr>
            </w:pPr>
            <w:r>
              <w:rPr>
                <w:rFonts w:hint="eastAsia" w:ascii="Arial" w:hAnsi="Arial" w:eastAsia="宋体" w:cs="宋体"/>
                <w:kern w:val="0"/>
                <w:sz w:val="20"/>
                <w:szCs w:val="21"/>
                <w:lang w:bidi="ar"/>
              </w:rPr>
              <w:t>学院就业推荐</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hint="eastAsia" w:ascii="Arial" w:hAnsi="Arial" w:eastAsia="宋体" w:cs="宋体"/>
                <w:kern w:val="0"/>
                <w:sz w:val="20"/>
                <w:szCs w:val="21"/>
                <w:lang w:bidi="ar"/>
              </w:rPr>
              <w:t>1317</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56.96</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43.04</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360</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4.16</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0.82</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36.39</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48.89</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10.56</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3.06</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8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left"/>
              <w:textAlignment w:val="top"/>
              <w:rPr>
                <w:rFonts w:ascii="Arial" w:hAnsi="Arial" w:eastAsia="宋体"/>
                <w:sz w:val="20"/>
              </w:rPr>
            </w:pPr>
            <w:r>
              <w:rPr>
                <w:rFonts w:hint="eastAsia" w:ascii="Arial" w:hAnsi="Arial" w:eastAsia="宋体" w:cs="宋体"/>
                <w:kern w:val="0"/>
                <w:sz w:val="20"/>
                <w:szCs w:val="21"/>
                <w:lang w:bidi="ar"/>
              </w:rPr>
              <w:t>就业实习</w:t>
            </w:r>
            <w:r>
              <w:rPr>
                <w:rFonts w:ascii="Arial" w:hAnsi="Arial" w:eastAsia="宋体" w:cs="Times New Roman"/>
                <w:kern w:val="0"/>
                <w:sz w:val="20"/>
                <w:szCs w:val="21"/>
                <w:lang w:bidi="ar"/>
              </w:rPr>
              <w:t>/</w:t>
            </w:r>
            <w:r>
              <w:rPr>
                <w:rFonts w:hint="eastAsia" w:ascii="Arial" w:hAnsi="Arial" w:eastAsia="宋体" w:cs="宋体"/>
                <w:kern w:val="0"/>
                <w:sz w:val="20"/>
                <w:szCs w:val="21"/>
                <w:lang w:bidi="ar"/>
              </w:rPr>
              <w:t>实践</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hint="eastAsia" w:ascii="Arial" w:hAnsi="Arial" w:eastAsia="宋体" w:cs="宋体"/>
                <w:kern w:val="0"/>
                <w:sz w:val="20"/>
                <w:szCs w:val="21"/>
                <w:lang w:bidi="ar"/>
              </w:rPr>
              <w:t>1317</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87.18</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12.82</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551</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4.06</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0.85</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31.76</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48.46</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14.7</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3.99</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8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left"/>
              <w:textAlignment w:val="top"/>
              <w:rPr>
                <w:rFonts w:ascii="Arial" w:hAnsi="Arial" w:eastAsia="宋体"/>
                <w:sz w:val="20"/>
              </w:rPr>
            </w:pPr>
            <w:r>
              <w:rPr>
                <w:rFonts w:hint="eastAsia" w:ascii="Arial" w:hAnsi="Arial" w:eastAsia="宋体" w:cs="宋体"/>
                <w:kern w:val="0"/>
                <w:sz w:val="20"/>
                <w:szCs w:val="21"/>
                <w:lang w:bidi="ar"/>
              </w:rPr>
              <w:t>就业相关政策咨询</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hint="eastAsia" w:ascii="Arial" w:hAnsi="Arial" w:eastAsia="宋体" w:cs="宋体"/>
                <w:kern w:val="0"/>
                <w:sz w:val="20"/>
                <w:szCs w:val="21"/>
                <w:lang w:bidi="ar"/>
              </w:rPr>
              <w:t>1317</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64.56</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35.44</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406</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4.11</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0.8</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32.27</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50.74</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13.55</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2.46</w:t>
            </w:r>
          </w:p>
        </w:tc>
        <w:tc>
          <w:tcPr>
            <w:tcW w:w="624" w:type="dxa"/>
            <w:tcBorders>
              <w:top w:val="single" w:color="4BACC6" w:sz="8"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0.99</w:t>
            </w:r>
          </w:p>
        </w:tc>
      </w:tr>
    </w:tbl>
    <w:p>
      <w:pPr>
        <w:pStyle w:val="33"/>
        <w:spacing w:before="180" w:after="180" w:afterLines="0" w:line="360" w:lineRule="auto"/>
        <w:ind w:firstLine="482" w:firstLineChars="200"/>
        <w:outlineLvl w:val="2"/>
        <w:rPr>
          <w:rFonts w:ascii="Times New Roman" w:hAnsi="Times New Roman" w:eastAsia="宋体"/>
          <w:sz w:val="24"/>
          <w:szCs w:val="24"/>
        </w:rPr>
      </w:pPr>
      <w:bookmarkStart w:id="253" w:name="_Toc428959520"/>
      <w:bookmarkStart w:id="254" w:name="_Toc501407863"/>
      <w:bookmarkStart w:id="255" w:name="_Toc491854134"/>
      <w:bookmarkStart w:id="256" w:name="_Toc18124"/>
      <w:r>
        <w:rPr>
          <w:rFonts w:hint="eastAsia" w:ascii="Times New Roman" w:hAnsi="Times New Roman" w:eastAsia="宋体"/>
          <w:sz w:val="24"/>
          <w:szCs w:val="24"/>
        </w:rPr>
        <w:t>2．</w:t>
      </w:r>
      <w:bookmarkEnd w:id="253"/>
      <w:r>
        <w:rPr>
          <w:rFonts w:hint="eastAsia" w:ascii="Times New Roman" w:hAnsi="Times New Roman" w:eastAsia="宋体"/>
          <w:sz w:val="24"/>
          <w:szCs w:val="24"/>
        </w:rPr>
        <w:t>抽样调查的2017届毕业生创业教育及服务的参与情况和满意程度</w:t>
      </w:r>
      <w:bookmarkEnd w:id="254"/>
      <w:bookmarkEnd w:id="255"/>
      <w:bookmarkEnd w:id="256"/>
    </w:p>
    <w:p>
      <w:pPr>
        <w:autoSpaceDE w:val="0"/>
        <w:spacing w:line="360" w:lineRule="auto"/>
        <w:ind w:firstLine="480" w:firstLineChars="200"/>
        <w:rPr>
          <w:rFonts w:ascii="Times New Roman" w:hAnsi="Times New Roman" w:eastAsia="宋体" w:cs="Times New Roman"/>
          <w:sz w:val="24"/>
          <w:szCs w:val="24"/>
        </w:rPr>
      </w:pPr>
      <w:bookmarkStart w:id="257" w:name="PO_2111"/>
      <w:bookmarkEnd w:id="257"/>
      <w:bookmarkStart w:id="258" w:name="_Toc428959542"/>
      <w:r>
        <w:rPr>
          <w:rFonts w:hint="eastAsia" w:ascii="Times New Roman" w:hAnsi="Times New Roman" w:eastAsia="宋体" w:cs="Times New Roman"/>
          <w:sz w:val="24"/>
          <w:szCs w:val="24"/>
        </w:rPr>
        <w:t>从毕业生参与学校提供的创业教育及服务情况来看，参与度最高的前三项依次为：创业相关讲座（51.27%），创业课程（49.21%），与创业者交流（42.25%）。</w:t>
      </w:r>
    </w:p>
    <w:p>
      <w:pPr>
        <w:autoSpaceDE w:val="0"/>
        <w:spacing w:line="360" w:lineRule="auto"/>
        <w:ind w:firstLine="480" w:firstLineChars="200"/>
        <w:rPr>
          <w:rFonts w:ascii="Times New Roman" w:hAnsi="Times New Roman" w:eastAsia="宋体" w:cs="Times New Roman"/>
          <w:sz w:val="24"/>
          <w:szCs w:val="24"/>
        </w:rPr>
      </w:pPr>
      <w:bookmarkStart w:id="259" w:name="PO_2112"/>
      <w:bookmarkEnd w:id="259"/>
      <w:r>
        <w:rPr>
          <w:rFonts w:hint="eastAsia" w:ascii="Times New Roman" w:hAnsi="Times New Roman" w:eastAsia="宋体" w:cs="Times New Roman"/>
          <w:sz w:val="24"/>
          <w:szCs w:val="24"/>
        </w:rPr>
        <w:t>从满意度看，参与创业企业的实习项目、创业计划大赛、参观创业企业是毕业生满意度较高的前三项。</w:t>
      </w:r>
      <w:bookmarkStart w:id="260" w:name="PO_2113"/>
      <w:bookmarkEnd w:id="260"/>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表3-3 抽样调查的2017届毕业生创业教育及服务的参与情况和满意程度</w:t>
      </w:r>
    </w:p>
    <w:tbl>
      <w:tblPr>
        <w:tblStyle w:val="27"/>
        <w:tblW w:w="85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624"/>
        <w:gridCol w:w="624"/>
        <w:gridCol w:w="624"/>
        <w:gridCol w:w="624"/>
        <w:gridCol w:w="624"/>
        <w:gridCol w:w="624"/>
        <w:gridCol w:w="624"/>
        <w:gridCol w:w="624"/>
        <w:gridCol w:w="624"/>
        <w:gridCol w:w="624"/>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01" w:type="dxa"/>
            <w:tcBorders>
              <w:top w:val="single" w:color="4BACC6" w:sz="8" w:space="0"/>
              <w:left w:val="single" w:color="4BACC6" w:sz="8" w:space="0"/>
              <w:bottom w:val="single" w:color="FFFFFF" w:sz="4" w:space="0"/>
              <w:right w:val="single" w:color="4BACC6" w:sz="8" w:space="0"/>
            </w:tcBorders>
            <w:shd w:val="clear" w:color="auto" w:fill="4BACC6"/>
            <w:tcMar>
              <w:top w:w="0" w:type="dxa"/>
              <w:left w:w="57" w:type="dxa"/>
              <w:bottom w:w="0" w:type="dxa"/>
              <w:right w:w="57" w:type="dxa"/>
            </w:tcMar>
            <w:vAlign w:val="center"/>
          </w:tcPr>
          <w:p>
            <w:pPr>
              <w:widowControl/>
              <w:jc w:val="left"/>
              <w:textAlignment w:val="top"/>
              <w:rPr>
                <w:rFonts w:ascii="Arial" w:hAnsi="Arial" w:eastAsia="宋体"/>
                <w:b/>
                <w:bCs/>
                <w:sz w:val="20"/>
              </w:rPr>
            </w:pPr>
          </w:p>
        </w:tc>
        <w:tc>
          <w:tcPr>
            <w:tcW w:w="624" w:type="dxa"/>
            <w:tcBorders>
              <w:top w:val="single" w:color="4BACC6" w:sz="8" w:space="0"/>
              <w:left w:val="single" w:color="4BACC6" w:sz="8" w:space="0"/>
              <w:bottom w:val="single" w:color="FFFFFF" w:sz="4" w:space="0"/>
              <w:right w:val="single" w:color="4BACC6" w:sz="8" w:space="0"/>
            </w:tcBorders>
            <w:shd w:val="clear" w:color="auto" w:fill="4BACC6"/>
            <w:tcMar>
              <w:top w:w="0" w:type="dxa"/>
              <w:left w:w="57" w:type="dxa"/>
              <w:bottom w:w="0" w:type="dxa"/>
              <w:right w:w="57" w:type="dxa"/>
            </w:tcMar>
            <w:vAlign w:val="center"/>
          </w:tcPr>
          <w:p>
            <w:pPr>
              <w:widowControl/>
              <w:jc w:val="center"/>
              <w:textAlignment w:val="top"/>
              <w:rPr>
                <w:rFonts w:ascii="Arial" w:hAnsi="Arial" w:eastAsia="宋体"/>
                <w:b/>
                <w:bCs/>
                <w:sz w:val="20"/>
              </w:rPr>
            </w:pPr>
            <w:r>
              <w:rPr>
                <w:rFonts w:hint="eastAsia" w:ascii="Arial" w:hAnsi="Arial" w:eastAsia="宋体"/>
                <w:b/>
                <w:bCs/>
                <w:sz w:val="20"/>
              </w:rPr>
              <w:t>N</w:t>
            </w:r>
          </w:p>
        </w:tc>
        <w:tc>
          <w:tcPr>
            <w:tcW w:w="1248" w:type="dxa"/>
            <w:gridSpan w:val="2"/>
            <w:tcBorders>
              <w:top w:val="single" w:color="4BACC6" w:sz="8" w:space="0"/>
              <w:left w:val="single" w:color="4BACC6" w:sz="8" w:space="0"/>
              <w:bottom w:val="single" w:color="FFFFFF" w:sz="4" w:space="0"/>
              <w:right w:val="single" w:color="4BACC6" w:sz="8" w:space="0"/>
            </w:tcBorders>
            <w:shd w:val="clear" w:color="auto" w:fill="4BACC6"/>
            <w:tcMar>
              <w:top w:w="0" w:type="dxa"/>
              <w:left w:w="57" w:type="dxa"/>
              <w:bottom w:w="0" w:type="dxa"/>
              <w:right w:w="57" w:type="dxa"/>
            </w:tcMar>
            <w:vAlign w:val="center"/>
          </w:tcPr>
          <w:p>
            <w:pPr>
              <w:widowControl/>
              <w:jc w:val="center"/>
              <w:textAlignment w:val="top"/>
              <w:rPr>
                <w:rFonts w:ascii="Arial" w:hAnsi="Arial" w:eastAsia="宋体"/>
                <w:b/>
                <w:bCs/>
                <w:sz w:val="20"/>
              </w:rPr>
            </w:pPr>
            <w:r>
              <w:rPr>
                <w:rFonts w:hint="eastAsia" w:ascii="Arial" w:hAnsi="Arial" w:eastAsia="宋体"/>
                <w:b/>
                <w:bCs/>
                <w:sz w:val="20"/>
              </w:rPr>
              <w:t>参与情况(%)</w:t>
            </w:r>
          </w:p>
        </w:tc>
        <w:tc>
          <w:tcPr>
            <w:tcW w:w="624" w:type="dxa"/>
            <w:tcBorders>
              <w:top w:val="single" w:color="4BACC6" w:sz="8" w:space="0"/>
              <w:left w:val="single" w:color="4BACC6" w:sz="8" w:space="0"/>
              <w:bottom w:val="single" w:color="FFFFFF" w:sz="4" w:space="0"/>
              <w:right w:val="single" w:color="4BACC6" w:sz="8" w:space="0"/>
            </w:tcBorders>
            <w:shd w:val="clear" w:color="auto" w:fill="4BACC6"/>
            <w:tcMar>
              <w:top w:w="0" w:type="dxa"/>
              <w:left w:w="57" w:type="dxa"/>
              <w:bottom w:w="0" w:type="dxa"/>
              <w:right w:w="57" w:type="dxa"/>
            </w:tcMar>
            <w:vAlign w:val="center"/>
          </w:tcPr>
          <w:p>
            <w:pPr>
              <w:widowControl/>
              <w:jc w:val="center"/>
              <w:textAlignment w:val="top"/>
              <w:rPr>
                <w:rFonts w:ascii="Arial" w:hAnsi="Arial" w:eastAsia="宋体"/>
                <w:b/>
                <w:bCs/>
                <w:sz w:val="20"/>
              </w:rPr>
            </w:pPr>
            <w:r>
              <w:rPr>
                <w:rFonts w:hint="eastAsia" w:ascii="Arial" w:hAnsi="Arial" w:eastAsia="宋体"/>
                <w:b/>
                <w:bCs/>
                <w:sz w:val="20"/>
              </w:rPr>
              <w:t>N</w:t>
            </w:r>
          </w:p>
        </w:tc>
        <w:tc>
          <w:tcPr>
            <w:tcW w:w="624" w:type="dxa"/>
            <w:tcBorders>
              <w:top w:val="single" w:color="4BACC6" w:sz="8" w:space="0"/>
              <w:left w:val="single" w:color="4BACC6" w:sz="8" w:space="0"/>
              <w:bottom w:val="single" w:color="FFFFFF" w:sz="4" w:space="0"/>
              <w:right w:val="single" w:color="4BACC6" w:sz="8" w:space="0"/>
            </w:tcBorders>
            <w:shd w:val="clear" w:color="auto" w:fill="4BACC6"/>
            <w:tcMar>
              <w:top w:w="0" w:type="dxa"/>
              <w:left w:w="57" w:type="dxa"/>
              <w:bottom w:w="0" w:type="dxa"/>
              <w:right w:w="57" w:type="dxa"/>
            </w:tcMar>
            <w:vAlign w:val="center"/>
          </w:tcPr>
          <w:p>
            <w:pPr>
              <w:widowControl/>
              <w:jc w:val="center"/>
              <w:textAlignment w:val="top"/>
              <w:rPr>
                <w:rFonts w:ascii="Arial" w:hAnsi="Arial" w:eastAsia="宋体"/>
                <w:b/>
                <w:bCs/>
                <w:sz w:val="20"/>
              </w:rPr>
            </w:pPr>
            <w:r>
              <w:rPr>
                <w:rFonts w:hint="eastAsia" w:ascii="Arial" w:hAnsi="Arial" w:eastAsia="宋体"/>
                <w:b/>
                <w:bCs/>
                <w:sz w:val="20"/>
              </w:rPr>
              <w:t>均值</w:t>
            </w:r>
          </w:p>
        </w:tc>
        <w:tc>
          <w:tcPr>
            <w:tcW w:w="624" w:type="dxa"/>
            <w:tcBorders>
              <w:top w:val="single" w:color="4BACC6" w:sz="8" w:space="0"/>
              <w:left w:val="single" w:color="4BACC6" w:sz="8" w:space="0"/>
              <w:bottom w:val="single" w:color="FFFFFF" w:sz="4" w:space="0"/>
              <w:right w:val="single" w:color="4BACC6" w:sz="8" w:space="0"/>
            </w:tcBorders>
            <w:shd w:val="clear" w:color="auto" w:fill="4BACC6"/>
            <w:tcMar>
              <w:top w:w="0" w:type="dxa"/>
              <w:left w:w="57" w:type="dxa"/>
              <w:bottom w:w="0" w:type="dxa"/>
              <w:right w:w="57" w:type="dxa"/>
            </w:tcMar>
            <w:vAlign w:val="center"/>
          </w:tcPr>
          <w:p>
            <w:pPr>
              <w:widowControl/>
              <w:jc w:val="center"/>
              <w:textAlignment w:val="top"/>
              <w:rPr>
                <w:rFonts w:ascii="Arial" w:hAnsi="Arial" w:eastAsia="宋体"/>
                <w:b/>
                <w:bCs/>
                <w:sz w:val="20"/>
              </w:rPr>
            </w:pPr>
            <w:r>
              <w:rPr>
                <w:rFonts w:hint="eastAsia" w:ascii="Arial" w:hAnsi="Arial" w:eastAsia="宋体"/>
                <w:b/>
                <w:bCs/>
                <w:sz w:val="20"/>
              </w:rPr>
              <w:t>标准差</w:t>
            </w:r>
          </w:p>
        </w:tc>
        <w:tc>
          <w:tcPr>
            <w:tcW w:w="3120" w:type="dxa"/>
            <w:gridSpan w:val="5"/>
            <w:tcBorders>
              <w:top w:val="single" w:color="4BACC6" w:sz="8" w:space="0"/>
              <w:left w:val="single" w:color="4BACC6" w:sz="8" w:space="0"/>
              <w:bottom w:val="single" w:color="FFFFFF" w:sz="4" w:space="0"/>
              <w:right w:val="single" w:color="4BACC6" w:sz="8" w:space="0"/>
            </w:tcBorders>
            <w:shd w:val="clear" w:color="auto" w:fill="4BACC6"/>
            <w:tcMar>
              <w:top w:w="0" w:type="dxa"/>
              <w:left w:w="57" w:type="dxa"/>
              <w:bottom w:w="0" w:type="dxa"/>
              <w:right w:w="57" w:type="dxa"/>
            </w:tcMar>
            <w:vAlign w:val="center"/>
          </w:tcPr>
          <w:p>
            <w:pPr>
              <w:widowControl/>
              <w:jc w:val="center"/>
              <w:textAlignment w:val="top"/>
              <w:rPr>
                <w:rFonts w:ascii="Arial" w:hAnsi="Arial" w:eastAsia="宋体"/>
                <w:b/>
                <w:bCs/>
                <w:sz w:val="20"/>
              </w:rPr>
            </w:pPr>
            <w:r>
              <w:rPr>
                <w:rFonts w:hint="eastAsia" w:ascii="Arial" w:hAnsi="Arial" w:eastAsia="宋体"/>
                <w:b/>
                <w:bCs/>
                <w:sz w:val="20"/>
              </w:rPr>
              <w:t>满意程度(%)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01" w:type="dxa"/>
            <w:tcBorders>
              <w:top w:val="single" w:color="FFFFFF" w:sz="4"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left"/>
              <w:textAlignment w:val="top"/>
              <w:rPr>
                <w:rFonts w:ascii="Arial" w:hAnsi="Arial" w:eastAsia="宋体" w:cs="宋体"/>
                <w:b/>
                <w:bCs/>
                <w:kern w:val="0"/>
                <w:sz w:val="20"/>
                <w:szCs w:val="21"/>
                <w:lang w:bidi="ar"/>
              </w:rPr>
            </w:pPr>
          </w:p>
        </w:tc>
        <w:tc>
          <w:tcPr>
            <w:tcW w:w="624" w:type="dxa"/>
            <w:tcBorders>
              <w:top w:val="single" w:color="FFFFFF" w:sz="4"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cs="宋体"/>
                <w:b/>
                <w:bCs/>
                <w:kern w:val="0"/>
                <w:sz w:val="20"/>
                <w:szCs w:val="21"/>
                <w:lang w:bidi="ar"/>
              </w:rPr>
            </w:pPr>
          </w:p>
        </w:tc>
        <w:tc>
          <w:tcPr>
            <w:tcW w:w="624" w:type="dxa"/>
            <w:tcBorders>
              <w:top w:val="single" w:color="FFFFFF" w:sz="4"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cs="Times New Roman"/>
                <w:b/>
                <w:bCs/>
                <w:kern w:val="0"/>
                <w:sz w:val="20"/>
                <w:szCs w:val="21"/>
                <w:lang w:bidi="ar"/>
              </w:rPr>
            </w:pPr>
            <w:r>
              <w:rPr>
                <w:rFonts w:hint="eastAsia" w:ascii="Arial" w:hAnsi="Arial" w:eastAsia="宋体" w:cs="Times New Roman"/>
                <w:b/>
                <w:bCs/>
                <w:kern w:val="0"/>
                <w:sz w:val="20"/>
                <w:szCs w:val="21"/>
                <w:lang w:bidi="ar"/>
              </w:rPr>
              <w:t>参加过</w:t>
            </w:r>
          </w:p>
        </w:tc>
        <w:tc>
          <w:tcPr>
            <w:tcW w:w="624" w:type="dxa"/>
            <w:tcBorders>
              <w:top w:val="single" w:color="FFFFFF" w:sz="4"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cs="Times New Roman"/>
                <w:b/>
                <w:bCs/>
                <w:kern w:val="0"/>
                <w:sz w:val="20"/>
                <w:szCs w:val="21"/>
                <w:lang w:bidi="ar"/>
              </w:rPr>
            </w:pPr>
            <w:r>
              <w:rPr>
                <w:rFonts w:hint="eastAsia" w:ascii="Arial" w:hAnsi="Arial" w:eastAsia="宋体" w:cs="Times New Roman"/>
                <w:b/>
                <w:bCs/>
                <w:kern w:val="0"/>
                <w:sz w:val="20"/>
                <w:szCs w:val="21"/>
                <w:lang w:bidi="ar"/>
              </w:rPr>
              <w:t>未参加过</w:t>
            </w:r>
          </w:p>
        </w:tc>
        <w:tc>
          <w:tcPr>
            <w:tcW w:w="624" w:type="dxa"/>
            <w:tcBorders>
              <w:top w:val="single" w:color="FFFFFF" w:sz="4"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cs="Times New Roman"/>
                <w:b/>
                <w:bCs/>
                <w:kern w:val="0"/>
                <w:sz w:val="20"/>
                <w:szCs w:val="21"/>
                <w:lang w:bidi="ar"/>
              </w:rPr>
            </w:pPr>
          </w:p>
        </w:tc>
        <w:tc>
          <w:tcPr>
            <w:tcW w:w="624" w:type="dxa"/>
            <w:tcBorders>
              <w:top w:val="single" w:color="FFFFFF" w:sz="4"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cs="Times New Roman"/>
                <w:b/>
                <w:bCs/>
                <w:kern w:val="0"/>
                <w:sz w:val="20"/>
                <w:szCs w:val="21"/>
                <w:lang w:bidi="ar"/>
              </w:rPr>
            </w:pPr>
          </w:p>
        </w:tc>
        <w:tc>
          <w:tcPr>
            <w:tcW w:w="624" w:type="dxa"/>
            <w:tcBorders>
              <w:top w:val="single" w:color="FFFFFF" w:sz="4"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cs="Times New Roman"/>
                <w:b/>
                <w:bCs/>
                <w:kern w:val="0"/>
                <w:sz w:val="20"/>
                <w:szCs w:val="21"/>
                <w:lang w:bidi="ar"/>
              </w:rPr>
            </w:pPr>
          </w:p>
        </w:tc>
        <w:tc>
          <w:tcPr>
            <w:tcW w:w="624" w:type="dxa"/>
            <w:tcBorders>
              <w:top w:val="single" w:color="FFFFFF" w:sz="4"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cs="Times New Roman"/>
                <w:b/>
                <w:bCs/>
                <w:kern w:val="0"/>
                <w:sz w:val="20"/>
                <w:szCs w:val="21"/>
                <w:lang w:bidi="ar"/>
              </w:rPr>
            </w:pPr>
            <w:r>
              <w:rPr>
                <w:rFonts w:hint="eastAsia" w:ascii="Arial" w:hAnsi="Arial" w:eastAsia="宋体" w:cs="Times New Roman"/>
                <w:b/>
                <w:bCs/>
                <w:kern w:val="0"/>
                <w:sz w:val="20"/>
                <w:szCs w:val="21"/>
                <w:lang w:bidi="ar"/>
              </w:rPr>
              <w:t>很满意</w:t>
            </w:r>
          </w:p>
        </w:tc>
        <w:tc>
          <w:tcPr>
            <w:tcW w:w="624" w:type="dxa"/>
            <w:tcBorders>
              <w:top w:val="single" w:color="FFFFFF" w:sz="4"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cs="Times New Roman"/>
                <w:b/>
                <w:bCs/>
                <w:kern w:val="0"/>
                <w:sz w:val="20"/>
                <w:szCs w:val="21"/>
                <w:lang w:bidi="ar"/>
              </w:rPr>
            </w:pPr>
            <w:r>
              <w:rPr>
                <w:rFonts w:hint="eastAsia" w:ascii="Arial" w:hAnsi="Arial" w:eastAsia="宋体" w:cs="Times New Roman"/>
                <w:b/>
                <w:bCs/>
                <w:kern w:val="0"/>
                <w:sz w:val="20"/>
                <w:szCs w:val="21"/>
                <w:lang w:bidi="ar"/>
              </w:rPr>
              <w:t>满意</w:t>
            </w:r>
          </w:p>
        </w:tc>
        <w:tc>
          <w:tcPr>
            <w:tcW w:w="624" w:type="dxa"/>
            <w:tcBorders>
              <w:top w:val="single" w:color="FFFFFF" w:sz="4"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cs="Times New Roman"/>
                <w:b/>
                <w:bCs/>
                <w:kern w:val="0"/>
                <w:sz w:val="20"/>
                <w:szCs w:val="21"/>
                <w:lang w:bidi="ar"/>
              </w:rPr>
            </w:pPr>
            <w:r>
              <w:rPr>
                <w:rFonts w:hint="eastAsia" w:ascii="Arial" w:hAnsi="Arial" w:eastAsia="宋体" w:cs="Times New Roman"/>
                <w:b/>
                <w:bCs/>
                <w:kern w:val="0"/>
                <w:sz w:val="20"/>
                <w:szCs w:val="21"/>
                <w:lang w:bidi="ar"/>
              </w:rPr>
              <w:t>不好说</w:t>
            </w:r>
          </w:p>
        </w:tc>
        <w:tc>
          <w:tcPr>
            <w:tcW w:w="624" w:type="dxa"/>
            <w:tcBorders>
              <w:top w:val="single" w:color="FFFFFF" w:sz="4"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cs="Times New Roman"/>
                <w:b/>
                <w:bCs/>
                <w:kern w:val="0"/>
                <w:sz w:val="20"/>
                <w:szCs w:val="21"/>
                <w:lang w:bidi="ar"/>
              </w:rPr>
            </w:pPr>
            <w:r>
              <w:rPr>
                <w:rFonts w:hint="eastAsia" w:ascii="Arial" w:hAnsi="Arial" w:eastAsia="宋体" w:cs="Times New Roman"/>
                <w:b/>
                <w:bCs/>
                <w:kern w:val="0"/>
                <w:sz w:val="20"/>
                <w:szCs w:val="21"/>
                <w:lang w:bidi="ar"/>
              </w:rPr>
              <w:t>不满意</w:t>
            </w:r>
          </w:p>
        </w:tc>
        <w:tc>
          <w:tcPr>
            <w:tcW w:w="624" w:type="dxa"/>
            <w:tcBorders>
              <w:top w:val="single" w:color="FFFFFF" w:sz="4" w:space="0"/>
              <w:left w:val="single" w:color="4BACC6" w:sz="8" w:space="0"/>
              <w:bottom w:val="single" w:color="4BACC6" w:sz="8" w:space="0"/>
              <w:right w:val="single" w:color="4BACC6" w:sz="8" w:space="0"/>
            </w:tcBorders>
            <w:shd w:val="clear" w:color="auto" w:fill="B7DDE8"/>
            <w:tcMar>
              <w:top w:w="0" w:type="dxa"/>
              <w:left w:w="57" w:type="dxa"/>
              <w:bottom w:w="0" w:type="dxa"/>
              <w:right w:w="57" w:type="dxa"/>
            </w:tcMar>
            <w:vAlign w:val="center"/>
          </w:tcPr>
          <w:p>
            <w:pPr>
              <w:widowControl/>
              <w:jc w:val="center"/>
              <w:textAlignment w:val="top"/>
              <w:rPr>
                <w:rFonts w:ascii="Arial" w:hAnsi="Arial" w:eastAsia="宋体" w:cs="Times New Roman"/>
                <w:b/>
                <w:bCs/>
                <w:kern w:val="0"/>
                <w:sz w:val="20"/>
                <w:szCs w:val="21"/>
                <w:lang w:bidi="ar"/>
              </w:rPr>
            </w:pPr>
            <w:r>
              <w:rPr>
                <w:rFonts w:hint="eastAsia" w:ascii="Arial" w:hAnsi="Arial" w:eastAsia="宋体" w:cs="Times New Roman"/>
                <w:b/>
                <w:bCs/>
                <w:kern w:val="0"/>
                <w:sz w:val="20"/>
                <w:szCs w:val="21"/>
                <w:lang w:bidi="ar"/>
              </w:rPr>
              <w:t>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01"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left"/>
              <w:textAlignment w:val="top"/>
              <w:rPr>
                <w:rFonts w:ascii="Arial" w:hAnsi="Arial" w:eastAsia="宋体" w:cs="宋体"/>
                <w:kern w:val="0"/>
                <w:sz w:val="20"/>
                <w:szCs w:val="21"/>
                <w:lang w:bidi="ar"/>
              </w:rPr>
            </w:pPr>
            <w:r>
              <w:rPr>
                <w:rFonts w:hint="eastAsia" w:ascii="Arial" w:hAnsi="Arial" w:eastAsia="宋体" w:cs="宋体"/>
                <w:kern w:val="0"/>
                <w:sz w:val="20"/>
                <w:szCs w:val="21"/>
                <w:lang w:bidi="ar"/>
              </w:rPr>
              <w:t>创业课程</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cs="宋体"/>
                <w:kern w:val="0"/>
                <w:sz w:val="20"/>
                <w:szCs w:val="21"/>
                <w:lang w:bidi="ar"/>
              </w:rPr>
            </w:pPr>
            <w:r>
              <w:rPr>
                <w:rFonts w:hint="eastAsia" w:ascii="Arial" w:hAnsi="Arial" w:eastAsia="宋体" w:cs="宋体"/>
                <w:kern w:val="0"/>
                <w:sz w:val="20"/>
                <w:szCs w:val="21"/>
                <w:lang w:bidi="ar"/>
              </w:rPr>
              <w:t>1317</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cs="Times New Roman"/>
                <w:kern w:val="0"/>
                <w:sz w:val="20"/>
                <w:szCs w:val="21"/>
                <w:lang w:bidi="ar"/>
              </w:rPr>
            </w:pPr>
            <w:r>
              <w:rPr>
                <w:rFonts w:ascii="Arial" w:hAnsi="Arial" w:eastAsia="宋体" w:cs="Times New Roman"/>
                <w:kern w:val="0"/>
                <w:sz w:val="20"/>
                <w:szCs w:val="21"/>
                <w:lang w:bidi="ar"/>
              </w:rPr>
              <w:t>49.21</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cs="Times New Roman"/>
                <w:kern w:val="0"/>
                <w:sz w:val="20"/>
                <w:szCs w:val="21"/>
                <w:lang w:bidi="ar"/>
              </w:rPr>
            </w:pPr>
            <w:r>
              <w:rPr>
                <w:rFonts w:ascii="Arial" w:hAnsi="Arial" w:eastAsia="宋体" w:cs="Times New Roman"/>
                <w:kern w:val="0"/>
                <w:sz w:val="20"/>
                <w:szCs w:val="21"/>
                <w:lang w:bidi="ar"/>
              </w:rPr>
              <w:t>50.79</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cs="Times New Roman"/>
                <w:kern w:val="0"/>
                <w:sz w:val="20"/>
                <w:szCs w:val="21"/>
                <w:lang w:bidi="ar"/>
              </w:rPr>
            </w:pPr>
            <w:r>
              <w:rPr>
                <w:rFonts w:ascii="Arial" w:hAnsi="Arial" w:eastAsia="宋体" w:cs="Times New Roman"/>
                <w:kern w:val="0"/>
                <w:sz w:val="20"/>
                <w:szCs w:val="21"/>
                <w:lang w:bidi="ar"/>
              </w:rPr>
              <w:t>310</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cs="Times New Roman"/>
                <w:kern w:val="0"/>
                <w:sz w:val="20"/>
                <w:szCs w:val="21"/>
                <w:lang w:bidi="ar"/>
              </w:rPr>
            </w:pPr>
            <w:r>
              <w:rPr>
                <w:rFonts w:ascii="Arial" w:hAnsi="Arial" w:eastAsia="宋体" w:cs="Times New Roman"/>
                <w:kern w:val="0"/>
                <w:sz w:val="20"/>
                <w:szCs w:val="21"/>
                <w:lang w:bidi="ar"/>
              </w:rPr>
              <w:t>4.22</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cs="Times New Roman"/>
                <w:kern w:val="0"/>
                <w:sz w:val="20"/>
                <w:szCs w:val="21"/>
                <w:lang w:bidi="ar"/>
              </w:rPr>
            </w:pPr>
            <w:r>
              <w:rPr>
                <w:rFonts w:ascii="Arial" w:hAnsi="Arial" w:eastAsia="宋体" w:cs="Times New Roman"/>
                <w:kern w:val="0"/>
                <w:sz w:val="20"/>
                <w:szCs w:val="21"/>
                <w:lang w:bidi="ar"/>
              </w:rPr>
              <w:t>0.81</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cs="Times New Roman"/>
                <w:kern w:val="0"/>
                <w:sz w:val="20"/>
                <w:szCs w:val="21"/>
                <w:lang w:bidi="ar"/>
              </w:rPr>
            </w:pPr>
            <w:r>
              <w:rPr>
                <w:rFonts w:ascii="Arial" w:hAnsi="Arial" w:eastAsia="宋体" w:cs="Times New Roman"/>
                <w:kern w:val="0"/>
                <w:sz w:val="20"/>
                <w:szCs w:val="21"/>
                <w:lang w:bidi="ar"/>
              </w:rPr>
              <w:t>41.61</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cs="Times New Roman"/>
                <w:kern w:val="0"/>
                <w:sz w:val="20"/>
                <w:szCs w:val="21"/>
                <w:lang w:bidi="ar"/>
              </w:rPr>
            </w:pPr>
            <w:r>
              <w:rPr>
                <w:rFonts w:ascii="Arial" w:hAnsi="Arial" w:eastAsia="宋体" w:cs="Times New Roman"/>
                <w:kern w:val="0"/>
                <w:sz w:val="20"/>
                <w:szCs w:val="21"/>
                <w:lang w:bidi="ar"/>
              </w:rPr>
              <w:t>42.26</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cs="Times New Roman"/>
                <w:kern w:val="0"/>
                <w:sz w:val="20"/>
                <w:szCs w:val="21"/>
                <w:lang w:bidi="ar"/>
              </w:rPr>
            </w:pPr>
            <w:r>
              <w:rPr>
                <w:rFonts w:ascii="Arial" w:hAnsi="Arial" w:eastAsia="宋体" w:cs="Times New Roman"/>
                <w:kern w:val="0"/>
                <w:sz w:val="20"/>
                <w:szCs w:val="21"/>
                <w:lang w:bidi="ar"/>
              </w:rPr>
              <w:t>13.55</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cs="Times New Roman"/>
                <w:kern w:val="0"/>
                <w:sz w:val="20"/>
                <w:szCs w:val="21"/>
                <w:lang w:bidi="ar"/>
              </w:rPr>
            </w:pPr>
            <w:r>
              <w:rPr>
                <w:rFonts w:ascii="Arial" w:hAnsi="Arial" w:eastAsia="宋体" w:cs="Times New Roman"/>
                <w:kern w:val="0"/>
                <w:sz w:val="20"/>
                <w:szCs w:val="21"/>
                <w:lang w:bidi="ar"/>
              </w:rPr>
              <w:t>1.61</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cs="Times New Roman"/>
                <w:kern w:val="0"/>
                <w:sz w:val="20"/>
                <w:szCs w:val="21"/>
                <w:lang w:bidi="ar"/>
              </w:rPr>
            </w:pPr>
            <w:r>
              <w:rPr>
                <w:rFonts w:ascii="Arial" w:hAnsi="Arial" w:eastAsia="宋体" w:cs="Times New Roman"/>
                <w:kern w:val="0"/>
                <w:sz w:val="20"/>
                <w:szCs w:val="21"/>
                <w:lang w:bidi="ar"/>
              </w:rPr>
              <w:t>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01"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left"/>
              <w:textAlignment w:val="top"/>
              <w:rPr>
                <w:rFonts w:ascii="Arial" w:hAnsi="Arial" w:eastAsia="宋体"/>
                <w:sz w:val="20"/>
              </w:rPr>
            </w:pPr>
            <w:r>
              <w:rPr>
                <w:rFonts w:hint="eastAsia" w:ascii="Arial" w:hAnsi="Arial" w:eastAsia="宋体" w:cs="宋体"/>
                <w:kern w:val="0"/>
                <w:sz w:val="20"/>
                <w:szCs w:val="21"/>
                <w:lang w:bidi="ar"/>
              </w:rPr>
              <w:t>创业相关讲座</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hint="eastAsia" w:ascii="Arial" w:hAnsi="Arial" w:eastAsia="宋体" w:cs="宋体"/>
                <w:kern w:val="0"/>
                <w:sz w:val="20"/>
                <w:szCs w:val="21"/>
                <w:lang w:bidi="ar"/>
              </w:rPr>
              <w:t>1317</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51.27</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48.73</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324</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4.15</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0.76</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34.88</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46.3</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17.59</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0.93</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01"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left"/>
              <w:textAlignment w:val="top"/>
              <w:rPr>
                <w:rFonts w:ascii="Arial" w:hAnsi="Arial" w:eastAsia="宋体"/>
                <w:sz w:val="20"/>
              </w:rPr>
            </w:pPr>
            <w:r>
              <w:rPr>
                <w:rFonts w:hint="eastAsia" w:ascii="Arial" w:hAnsi="Arial" w:eastAsia="宋体" w:cs="宋体"/>
                <w:kern w:val="0"/>
                <w:sz w:val="20"/>
                <w:szCs w:val="21"/>
                <w:lang w:bidi="ar"/>
              </w:rPr>
              <w:t>创业类学生社团活动</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hint="eastAsia" w:ascii="Arial" w:hAnsi="Arial" w:eastAsia="宋体" w:cs="宋体"/>
                <w:kern w:val="0"/>
                <w:sz w:val="20"/>
                <w:szCs w:val="21"/>
                <w:lang w:bidi="ar"/>
              </w:rPr>
              <w:t>1317</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36.23</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63.77</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229</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4.22</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0.79</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41.48</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41.05</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15.72</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1.31</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01"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left"/>
              <w:textAlignment w:val="top"/>
              <w:rPr>
                <w:rFonts w:ascii="Arial" w:hAnsi="Arial" w:eastAsia="宋体"/>
                <w:sz w:val="20"/>
              </w:rPr>
            </w:pPr>
            <w:r>
              <w:rPr>
                <w:rFonts w:hint="eastAsia" w:ascii="Arial" w:hAnsi="Arial" w:eastAsia="宋体" w:cs="宋体"/>
                <w:kern w:val="0"/>
                <w:sz w:val="20"/>
                <w:szCs w:val="21"/>
                <w:lang w:bidi="ar"/>
              </w:rPr>
              <w:t>创业计划大赛</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hint="eastAsia" w:ascii="Arial" w:hAnsi="Arial" w:eastAsia="宋体" w:cs="宋体"/>
                <w:kern w:val="0"/>
                <w:sz w:val="20"/>
                <w:szCs w:val="21"/>
                <w:lang w:bidi="ar"/>
              </w:rPr>
              <w:t>1317</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22.31</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77.69</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141</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4.26</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0.84</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46.81</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35.46</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14.89</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2.13</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01"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left"/>
              <w:textAlignment w:val="top"/>
              <w:rPr>
                <w:rFonts w:ascii="Arial" w:hAnsi="Arial" w:eastAsia="宋体"/>
                <w:sz w:val="20"/>
              </w:rPr>
            </w:pPr>
            <w:r>
              <w:rPr>
                <w:rFonts w:hint="eastAsia" w:ascii="Arial" w:hAnsi="Arial" w:eastAsia="宋体" w:cs="宋体"/>
                <w:kern w:val="0"/>
                <w:sz w:val="20"/>
                <w:szCs w:val="21"/>
                <w:lang w:bidi="ar"/>
              </w:rPr>
              <w:t>参观创业企业</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hint="eastAsia" w:ascii="Arial" w:hAnsi="Arial" w:eastAsia="宋体" w:cs="宋体"/>
                <w:kern w:val="0"/>
                <w:sz w:val="20"/>
                <w:szCs w:val="21"/>
                <w:lang w:bidi="ar"/>
              </w:rPr>
              <w:t>1317</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35.92</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64.08</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227</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4.24</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0.75</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40.53</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44.93</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13.22</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0.88</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01"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left"/>
              <w:textAlignment w:val="top"/>
              <w:rPr>
                <w:rFonts w:ascii="Arial" w:hAnsi="Arial" w:eastAsia="宋体"/>
                <w:sz w:val="20"/>
              </w:rPr>
            </w:pPr>
            <w:r>
              <w:rPr>
                <w:rFonts w:hint="eastAsia" w:ascii="Arial" w:hAnsi="Arial" w:eastAsia="宋体" w:cs="宋体"/>
                <w:kern w:val="0"/>
                <w:sz w:val="20"/>
                <w:szCs w:val="21"/>
                <w:lang w:bidi="ar"/>
              </w:rPr>
              <w:t>与创业者交流</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hint="eastAsia" w:ascii="Arial" w:hAnsi="Arial" w:eastAsia="宋体" w:cs="宋体"/>
                <w:kern w:val="0"/>
                <w:sz w:val="20"/>
                <w:szCs w:val="21"/>
                <w:lang w:bidi="ar"/>
              </w:rPr>
              <w:t>1317</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42.25</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57.75</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266</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4.21</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0.75</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39.1</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44.74</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15.04</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0.75</w:t>
            </w:r>
          </w:p>
        </w:tc>
        <w:tc>
          <w:tcPr>
            <w:tcW w:w="624" w:type="dxa"/>
            <w:tcBorders>
              <w:top w:val="single" w:color="4BACC6" w:sz="8" w:space="0"/>
              <w:left w:val="single" w:color="4BACC6" w:sz="8" w:space="0"/>
              <w:bottom w:val="single" w:color="4BACC6" w:sz="8" w:space="0"/>
              <w:right w:val="single" w:color="4BACC6" w:sz="8" w:space="0"/>
            </w:tcBorders>
            <w:shd w:val="clear" w:color="auto" w:fill="DEEAF6"/>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01"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left"/>
              <w:textAlignment w:val="top"/>
              <w:rPr>
                <w:rFonts w:ascii="Arial" w:hAnsi="Arial" w:eastAsia="宋体"/>
                <w:sz w:val="20"/>
              </w:rPr>
            </w:pPr>
            <w:r>
              <w:rPr>
                <w:rFonts w:hint="eastAsia" w:ascii="Arial" w:hAnsi="Arial" w:eastAsia="宋体" w:cs="宋体"/>
                <w:kern w:val="0"/>
                <w:sz w:val="20"/>
                <w:szCs w:val="21"/>
                <w:lang w:bidi="ar"/>
              </w:rPr>
              <w:t>参与创业企业的实习项目</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hint="eastAsia" w:ascii="Arial" w:hAnsi="Arial" w:eastAsia="宋体" w:cs="宋体"/>
                <w:kern w:val="0"/>
                <w:sz w:val="20"/>
                <w:szCs w:val="21"/>
                <w:lang w:bidi="ar"/>
              </w:rPr>
              <w:t>1317</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31.49</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68.51</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199</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4.27</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0.82</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44.72</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41.21</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11.56</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1.01</w:t>
            </w:r>
          </w:p>
        </w:tc>
        <w:tc>
          <w:tcPr>
            <w:tcW w:w="624" w:type="dxa"/>
            <w:tcBorders>
              <w:top w:val="single" w:color="4BACC6" w:sz="8" w:space="0"/>
              <w:left w:val="single" w:color="4BACC6" w:sz="8" w:space="0"/>
              <w:bottom w:val="single" w:color="4BACC6" w:sz="8" w:space="0"/>
              <w:right w:val="single" w:color="4BACC6" w:sz="8" w:space="0"/>
            </w:tcBorders>
            <w:shd w:val="clear" w:color="auto" w:fill="FFFFFF"/>
            <w:tcMar>
              <w:top w:w="0" w:type="dxa"/>
              <w:left w:w="57" w:type="dxa"/>
              <w:bottom w:w="0" w:type="dxa"/>
              <w:right w:w="57" w:type="dxa"/>
            </w:tcMar>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1.51</w:t>
            </w:r>
          </w:p>
        </w:tc>
      </w:tr>
      <w:bookmarkEnd w:id="258"/>
    </w:tbl>
    <w:p>
      <w:pPr>
        <w:pStyle w:val="33"/>
        <w:spacing w:before="180" w:after="180" w:afterLines="0" w:line="360" w:lineRule="auto"/>
        <w:ind w:firstLine="482" w:firstLineChars="200"/>
        <w:outlineLvl w:val="2"/>
        <w:rPr>
          <w:rFonts w:ascii="Times New Roman" w:hAnsi="Times New Roman" w:eastAsia="宋体"/>
          <w:sz w:val="24"/>
          <w:szCs w:val="24"/>
        </w:rPr>
      </w:pPr>
      <w:bookmarkStart w:id="261" w:name="PO_2115"/>
      <w:bookmarkEnd w:id="261"/>
      <w:bookmarkStart w:id="262" w:name="_Toc491854135"/>
      <w:bookmarkStart w:id="263" w:name="_Toc501407864"/>
      <w:bookmarkStart w:id="264" w:name="_Toc22877"/>
      <w:r>
        <w:rPr>
          <w:rFonts w:hint="eastAsia" w:ascii="Times New Roman" w:hAnsi="Times New Roman" w:eastAsia="宋体"/>
          <w:sz w:val="24"/>
          <w:szCs w:val="24"/>
        </w:rPr>
        <w:t>3．抽样调查的2017届毕业生创业计划</w:t>
      </w:r>
      <w:bookmarkEnd w:id="262"/>
      <w:bookmarkEnd w:id="263"/>
      <w:bookmarkEnd w:id="264"/>
    </w:p>
    <w:p>
      <w:pPr>
        <w:autoSpaceDE w:val="0"/>
        <w:spacing w:line="360" w:lineRule="auto"/>
        <w:ind w:firstLine="480" w:firstLineChars="200"/>
        <w:rPr>
          <w:rFonts w:ascii="Times New Roman" w:hAnsi="Times New Roman" w:eastAsia="宋体" w:cs="Times New Roman"/>
          <w:sz w:val="24"/>
          <w:szCs w:val="24"/>
        </w:rPr>
      </w:pPr>
      <w:bookmarkStart w:id="265" w:name="PO_2121"/>
      <w:bookmarkEnd w:id="265"/>
      <w:r>
        <w:rPr>
          <w:rFonts w:hint="eastAsia" w:ascii="Times New Roman" w:hAnsi="Times New Roman" w:eastAsia="宋体" w:cs="Times New Roman"/>
          <w:sz w:val="24"/>
          <w:szCs w:val="24"/>
        </w:rPr>
        <w:t>从创业计划来看，37.05%的毕业生上学期间未创业毕业后也不打算创业，8.96%上学期间未创业毕业后打算马上创业，39.56%上学期间未创业毕业后打算工作几年再创业，11.01%上学期间创业了毕业后打算继续创业，3.42%上学期间创业了毕业后打算暂停创业。</w:t>
      </w:r>
    </w:p>
    <w:p>
      <w:pPr>
        <w:pStyle w:val="35"/>
        <w:ind w:firstLine="480"/>
      </w:pPr>
    </w:p>
    <w:p>
      <w:pPr>
        <w:jc w:val="center"/>
      </w:pPr>
      <w:bookmarkStart w:id="266" w:name="PO_2122"/>
      <w:bookmarkEnd w:id="266"/>
      <w:r>
        <w:drawing>
          <wp:inline distT="0" distB="0" distL="114300" distR="114300">
            <wp:extent cx="4647565" cy="2244725"/>
            <wp:effectExtent l="4445" t="4445" r="15240" b="17780"/>
            <wp:docPr id="26"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图3-14 抽样调查的2017届毕业生的创业计划情况</w:t>
      </w:r>
    </w:p>
    <w:p>
      <w:pPr>
        <w:pStyle w:val="33"/>
        <w:spacing w:before="180" w:after="180" w:afterLines="0" w:line="360" w:lineRule="auto"/>
        <w:ind w:firstLine="482" w:firstLineChars="200"/>
        <w:outlineLvl w:val="2"/>
        <w:rPr>
          <w:rFonts w:ascii="Times New Roman" w:hAnsi="Times New Roman" w:eastAsia="宋体"/>
          <w:sz w:val="24"/>
          <w:szCs w:val="24"/>
        </w:rPr>
      </w:pPr>
      <w:bookmarkStart w:id="267" w:name="_Toc491854136"/>
      <w:bookmarkStart w:id="268" w:name="_Toc501407865"/>
      <w:bookmarkStart w:id="269" w:name="_Toc15788"/>
      <w:r>
        <w:rPr>
          <w:rFonts w:hint="eastAsia" w:ascii="Times New Roman" w:hAnsi="Times New Roman" w:eastAsia="宋体"/>
          <w:sz w:val="24"/>
          <w:szCs w:val="24"/>
        </w:rPr>
        <w:t>4．抽样调查的2017届毕业生接受了学校的创业教育后的最大收获</w:t>
      </w:r>
      <w:bookmarkEnd w:id="267"/>
      <w:bookmarkEnd w:id="268"/>
      <w:bookmarkEnd w:id="269"/>
    </w:p>
    <w:p>
      <w:pPr>
        <w:autoSpaceDE w:val="0"/>
        <w:spacing w:line="360" w:lineRule="auto"/>
        <w:ind w:firstLine="480" w:firstLineChars="200"/>
        <w:rPr>
          <w:rFonts w:ascii="Times New Roman" w:hAnsi="Times New Roman" w:eastAsia="宋体" w:cs="Times New Roman"/>
          <w:sz w:val="24"/>
          <w:szCs w:val="24"/>
        </w:rPr>
      </w:pPr>
      <w:bookmarkStart w:id="270" w:name="PO_2131"/>
      <w:bookmarkEnd w:id="270"/>
      <w:r>
        <w:rPr>
          <w:rFonts w:hint="eastAsia" w:ascii="Times New Roman" w:hAnsi="Times New Roman" w:eastAsia="宋体" w:cs="Times New Roman"/>
          <w:sz w:val="24"/>
          <w:szCs w:val="24"/>
        </w:rPr>
        <w:t>从学校的创业教育效果上看，38.88%的受访毕业生在接受了学校的创业教育后了解了什么是大学生创业，12.07%创业意识受到了启发，11.31%激发了创业热情，10.55%明确了创业计划，16.70%了解了相关创业政策，但也有10.48%表示没有任何收获。</w:t>
      </w:r>
    </w:p>
    <w:p>
      <w:pPr>
        <w:jc w:val="center"/>
      </w:pPr>
      <w:bookmarkStart w:id="271" w:name="PO_2132"/>
      <w:bookmarkEnd w:id="271"/>
      <w:r>
        <w:drawing>
          <wp:inline distT="0" distB="0" distL="114300" distR="114300">
            <wp:extent cx="4580255" cy="2332355"/>
            <wp:effectExtent l="4445" t="5080" r="6350" b="5715"/>
            <wp:docPr id="27"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图3-15 抽样调查的2017届毕业生接受创业教育后取得的最大收获</w:t>
      </w:r>
    </w:p>
    <w:p>
      <w:pPr>
        <w:jc w:val="center"/>
        <w:rPr>
          <w:rFonts w:ascii="Times New Roman" w:hAnsi="Times New Roman" w:eastAsia="宋体" w:cs="Times New Roman"/>
          <w:snapToGrid w:val="0"/>
          <w:kern w:val="0"/>
          <w:sz w:val="24"/>
          <w:szCs w:val="24"/>
        </w:rPr>
      </w:pPr>
    </w:p>
    <w:p>
      <w:pPr>
        <w:pStyle w:val="2"/>
        <w:pageBreakBefore/>
        <w:spacing w:before="460" w:after="460" w:line="312" w:lineRule="auto"/>
        <w:jc w:val="center"/>
        <w:rPr>
          <w:rFonts w:ascii="Times New Roman" w:hAnsi="Times New Roman" w:eastAsia="黑体" w:cs="Times New Roman"/>
          <w:bCs w:val="0"/>
          <w:szCs w:val="36"/>
        </w:rPr>
      </w:pPr>
      <w:bookmarkStart w:id="272" w:name="_Toc428959547"/>
      <w:bookmarkStart w:id="273" w:name="_Toc491854137"/>
      <w:bookmarkStart w:id="274" w:name="_Toc22252"/>
      <w:bookmarkStart w:id="275" w:name="_Toc501407866"/>
      <w:r>
        <w:rPr>
          <w:rFonts w:hint="eastAsia" w:ascii="Times New Roman" w:hAnsi="Times New Roman" w:eastAsia="黑体" w:cs="Times New Roman"/>
          <w:bCs w:val="0"/>
          <w:szCs w:val="36"/>
        </w:rPr>
        <w:t>第四章 抽样调查学生求职</w:t>
      </w:r>
      <w:bookmarkEnd w:id="272"/>
      <w:bookmarkEnd w:id="273"/>
      <w:r>
        <w:rPr>
          <w:rFonts w:hint="eastAsia" w:ascii="Times New Roman" w:hAnsi="Times New Roman" w:eastAsia="黑体" w:cs="Times New Roman"/>
          <w:bCs w:val="0"/>
          <w:szCs w:val="36"/>
        </w:rPr>
        <w:t>意向和落实情况</w:t>
      </w:r>
      <w:bookmarkEnd w:id="274"/>
      <w:bookmarkEnd w:id="275"/>
    </w:p>
    <w:p>
      <w:pPr>
        <w:pStyle w:val="3"/>
        <w:autoSpaceDE w:val="0"/>
        <w:spacing w:line="312" w:lineRule="auto"/>
        <w:rPr>
          <w:rFonts w:ascii="Times New Roman" w:hAnsi="Times New Roman" w:eastAsia="黑体" w:cs="Times New Roman"/>
        </w:rPr>
      </w:pPr>
      <w:bookmarkStart w:id="276" w:name="_Toc501407867"/>
      <w:bookmarkStart w:id="277" w:name="_Toc491854138"/>
      <w:bookmarkStart w:id="278" w:name="_Toc10770"/>
      <w:bookmarkStart w:id="279" w:name="_Toc428959548"/>
      <w:r>
        <w:rPr>
          <w:rFonts w:hint="eastAsia" w:ascii="Times New Roman" w:hAnsi="Times New Roman" w:eastAsia="黑体" w:cs="Times New Roman"/>
        </w:rPr>
        <w:t>一、抽样调查的2017届毕业生求职意向情况</w:t>
      </w:r>
      <w:bookmarkEnd w:id="276"/>
    </w:p>
    <w:p>
      <w:pPr>
        <w:pStyle w:val="4"/>
        <w:autoSpaceDE w:val="0"/>
        <w:spacing w:beforeLines="0" w:afterLines="0" w:line="312" w:lineRule="auto"/>
        <w:ind w:firstLine="0" w:firstLineChars="0"/>
        <w:jc w:val="both"/>
        <w:rPr>
          <w:rFonts w:eastAsia="黑体"/>
          <w:bCs w:val="0"/>
          <w:snapToGrid/>
          <w:sz w:val="28"/>
          <w:szCs w:val="28"/>
        </w:rPr>
      </w:pPr>
      <w:bookmarkStart w:id="280" w:name="_Toc501407868"/>
      <w:r>
        <w:rPr>
          <w:rFonts w:hint="eastAsia" w:eastAsia="黑体"/>
          <w:bCs w:val="0"/>
          <w:snapToGrid/>
          <w:sz w:val="28"/>
          <w:szCs w:val="28"/>
        </w:rPr>
        <w:t>（一）抽样调查的2017届毕业生所期望的工作情况</w:t>
      </w:r>
      <w:bookmarkEnd w:id="280"/>
    </w:p>
    <w:p>
      <w:pPr>
        <w:pStyle w:val="33"/>
        <w:spacing w:before="180" w:after="180" w:afterLines="0" w:line="360" w:lineRule="auto"/>
        <w:ind w:firstLine="482" w:firstLineChars="200"/>
        <w:outlineLvl w:val="2"/>
        <w:rPr>
          <w:rFonts w:ascii="Times New Roman" w:hAnsi="Times New Roman" w:eastAsia="宋体"/>
          <w:sz w:val="24"/>
          <w:szCs w:val="24"/>
        </w:rPr>
      </w:pPr>
      <w:bookmarkStart w:id="281" w:name="_Toc501407869"/>
      <w:r>
        <w:rPr>
          <w:rFonts w:hint="eastAsia" w:ascii="Times New Roman" w:hAnsi="Times New Roman" w:eastAsia="宋体"/>
          <w:sz w:val="24"/>
          <w:szCs w:val="24"/>
        </w:rPr>
        <w:t>1．抽样调查的2017届毕业生求职初始首选的工作地点</w:t>
      </w:r>
      <w:bookmarkEnd w:id="277"/>
      <w:bookmarkEnd w:id="278"/>
      <w:bookmarkEnd w:id="279"/>
      <w:bookmarkEnd w:id="281"/>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从毕业生期望首选工作地区</w:t>
      </w:r>
      <w:r>
        <w:rPr>
          <w:rFonts w:hint="eastAsia" w:ascii="Times New Roman" w:hAnsi="Times New Roman" w:eastAsia="宋体" w:cs="Times New Roman"/>
          <w:sz w:val="24"/>
          <w:szCs w:val="24"/>
        </w:rPr>
        <w:footnoteReference w:id="0"/>
      </w:r>
      <w:r>
        <w:rPr>
          <w:rFonts w:hint="eastAsia" w:ascii="Times New Roman" w:hAnsi="Times New Roman" w:eastAsia="宋体" w:cs="Times New Roman"/>
          <w:sz w:val="24"/>
          <w:szCs w:val="24"/>
        </w:rPr>
        <w:t>上看，</w:t>
      </w:r>
      <w:bookmarkStart w:id="282" w:name="PO_3111"/>
      <w:bookmarkEnd w:id="282"/>
      <w:r>
        <w:rPr>
          <w:rFonts w:hint="eastAsia" w:ascii="Times New Roman" w:hAnsi="Times New Roman" w:eastAsia="宋体" w:cs="Times New Roman"/>
          <w:sz w:val="24"/>
          <w:szCs w:val="24"/>
        </w:rPr>
        <w:t>57.40%的毕业生期望在省内就业，37.81%期望在东部地区就业，3.80%期望在中部地区就业，0.99%期望在西部地区就业。</w:t>
      </w:r>
    </w:p>
    <w:p>
      <w:pPr>
        <w:jc w:val="center"/>
        <w:rPr>
          <w:rFonts w:ascii="Times New Roman" w:hAnsi="Times New Roman" w:eastAsia="宋体" w:cs="Times New Roman"/>
          <w:snapToGrid w:val="0"/>
          <w:sz w:val="24"/>
          <w:szCs w:val="24"/>
        </w:rPr>
      </w:pPr>
      <w:bookmarkStart w:id="283" w:name="PO_3112"/>
      <w:bookmarkEnd w:id="283"/>
      <w:r>
        <w:drawing>
          <wp:inline distT="0" distB="0" distL="114300" distR="114300">
            <wp:extent cx="4465955" cy="1533525"/>
            <wp:effectExtent l="4445" t="5080" r="6350" b="4445"/>
            <wp:docPr id="28"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图4-1 抽样调查的2017届毕业生期望首选就业地区</w:t>
      </w:r>
    </w:p>
    <w:p>
      <w:pPr>
        <w:autoSpaceDE w:val="0"/>
        <w:spacing w:line="360" w:lineRule="auto"/>
        <w:ind w:firstLine="480" w:firstLineChars="200"/>
        <w:rPr>
          <w:rFonts w:ascii="Times New Roman" w:hAnsi="Times New Roman" w:eastAsia="宋体" w:cs="Times New Roman"/>
          <w:sz w:val="24"/>
          <w:szCs w:val="24"/>
        </w:rPr>
      </w:pPr>
      <w:bookmarkStart w:id="284" w:name="PO_3121"/>
      <w:bookmarkEnd w:id="284"/>
      <w:r>
        <w:rPr>
          <w:rFonts w:hint="eastAsia" w:ascii="Times New Roman" w:hAnsi="Times New Roman" w:eastAsia="宋体" w:cs="Times New Roman"/>
          <w:sz w:val="24"/>
          <w:szCs w:val="24"/>
        </w:rPr>
        <w:t>从毕业生期望首选的就业地点来看，74.94%的毕业生期望就业地为城市，22.40%为城郊或乡镇，2.66%为农村。</w:t>
      </w:r>
    </w:p>
    <w:p>
      <w:pPr>
        <w:jc w:val="center"/>
      </w:pPr>
      <w:bookmarkStart w:id="285" w:name="PO_3122"/>
      <w:bookmarkEnd w:id="285"/>
      <w:r>
        <mc:AlternateContent>
          <mc:Choice Requires="wps">
            <w:drawing>
              <wp:anchor distT="0" distB="0" distL="114300" distR="114300" simplePos="0" relativeHeight="251685888" behindDoc="0" locked="0" layoutInCell="1" allowOverlap="1">
                <wp:simplePos x="0" y="0"/>
                <wp:positionH relativeFrom="column">
                  <wp:posOffset>3332480</wp:posOffset>
                </wp:positionH>
                <wp:positionV relativeFrom="paragraph">
                  <wp:posOffset>989965</wp:posOffset>
                </wp:positionV>
                <wp:extent cx="1483995" cy="303530"/>
                <wp:effectExtent l="775970" t="5080" r="6985" b="15240"/>
                <wp:wrapNone/>
                <wp:docPr id="82" name="自选图形 15"/>
                <wp:cNvGraphicFramePr/>
                <a:graphic xmlns:a="http://schemas.openxmlformats.org/drawingml/2006/main">
                  <a:graphicData uri="http://schemas.microsoft.com/office/word/2010/wordprocessingShape">
                    <wps:wsp>
                      <wps:cNvSpPr/>
                      <wps:spPr>
                        <a:xfrm>
                          <a:off x="4180205" y="8762365"/>
                          <a:ext cx="1483995" cy="303530"/>
                        </a:xfrm>
                        <a:prstGeom prst="wedgeRectCallout">
                          <a:avLst>
                            <a:gd name="adj1" fmla="val -99721"/>
                            <a:gd name="adj2" fmla="val 28451"/>
                          </a:avLst>
                        </a:prstGeom>
                        <a:solidFill>
                          <a:srgbClr val="C6D9F1"/>
                        </a:solidFill>
                        <a:ln w="9525" cap="flat" cmpd="sng">
                          <a:solidFill>
                            <a:srgbClr val="000000"/>
                          </a:solidFill>
                          <a:prstDash val="solid"/>
                          <a:miter/>
                          <a:headEnd type="none" w="med" len="med"/>
                          <a:tailEnd type="none" w="med" len="med"/>
                        </a:ln>
                      </wps:spPr>
                      <wps:txbx>
                        <w:txbxContent>
                          <w:p>
                            <w:pPr>
                              <w:rPr>
                                <w:rFonts w:eastAsia="宋体"/>
                              </w:rPr>
                            </w:pPr>
                            <w:r>
                              <w:rPr>
                                <w:rFonts w:hint="eastAsia"/>
                              </w:rPr>
                              <w:t>城市，987人，74.94%</w:t>
                            </w:r>
                          </w:p>
                        </w:txbxContent>
                      </wps:txbx>
                      <wps:bodyPr upright="1"/>
                    </wps:wsp>
                  </a:graphicData>
                </a:graphic>
              </wp:anchor>
            </w:drawing>
          </mc:Choice>
          <mc:Fallback>
            <w:pict>
              <v:shape id="自选图形 15" o:spid="_x0000_s1026" o:spt="61" type="#_x0000_t61" style="position:absolute;left:0pt;margin-left:262.4pt;margin-top:77.95pt;height:23.9pt;width:116.85pt;z-index:251685888;mso-width-relative:page;mso-height-relative:page;" fillcolor="#C6D9F1" filled="t" stroked="t" coordsize="21600,21600" o:gfxdata="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WzlfraAAAACwEAAA8AAAAAAAAAAQAgAAAAIgAAAGRycy9kb3ducmV2&#10;LnhtbFBLAQIUABQAAAAIAIdO4kDR6kjeMwIAAE0EAAAOAAAAAAAAAAEAIAAAACkBAABkcnMvZTJv&#10;RG9jLnhtbFBLBQYAAAAABgAGAFkBAADOBQAAAAA=&#10;" adj="-10740,16945">
                <v:fill on="t" focussize="0,0"/>
                <v:stroke color="#000000" joinstyle="miter"/>
                <v:imagedata o:title=""/>
                <o:lock v:ext="edit" aspectratio="f"/>
                <v:textbox>
                  <w:txbxContent>
                    <w:p>
                      <w:pPr>
                        <w:rPr>
                          <w:rFonts w:eastAsia="宋体"/>
                        </w:rPr>
                      </w:pPr>
                      <w:r>
                        <w:rPr>
                          <w:rFonts w:hint="eastAsia"/>
                        </w:rPr>
                        <w:t>城市，987人，74.94%</w:t>
                      </w:r>
                    </w:p>
                  </w:txbxContent>
                </v:textbox>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1028700</wp:posOffset>
                </wp:positionH>
                <wp:positionV relativeFrom="paragraph">
                  <wp:posOffset>120015</wp:posOffset>
                </wp:positionV>
                <wp:extent cx="1283335" cy="318770"/>
                <wp:effectExtent l="4445" t="4445" r="331470" b="19685"/>
                <wp:wrapNone/>
                <wp:docPr id="83" name="自选图形 13"/>
                <wp:cNvGraphicFramePr/>
                <a:graphic xmlns:a="http://schemas.openxmlformats.org/drawingml/2006/main">
                  <a:graphicData uri="http://schemas.microsoft.com/office/word/2010/wordprocessingShape">
                    <wps:wsp>
                      <wps:cNvSpPr/>
                      <wps:spPr>
                        <a:xfrm>
                          <a:off x="2171700" y="7273290"/>
                          <a:ext cx="1283335" cy="318770"/>
                        </a:xfrm>
                        <a:prstGeom prst="wedgeRectCallout">
                          <a:avLst>
                            <a:gd name="adj1" fmla="val 72018"/>
                            <a:gd name="adj2" fmla="val 31274"/>
                          </a:avLst>
                        </a:prstGeom>
                        <a:solidFill>
                          <a:srgbClr val="DCE6F2"/>
                        </a:solidFill>
                        <a:ln w="9525" cap="flat" cmpd="sng">
                          <a:solidFill>
                            <a:srgbClr val="000000"/>
                          </a:solidFill>
                          <a:prstDash val="solid"/>
                          <a:miter/>
                          <a:headEnd type="none" w="med" len="med"/>
                          <a:tailEnd type="none" w="med" len="med"/>
                        </a:ln>
                      </wps:spPr>
                      <wps:txbx>
                        <w:txbxContent>
                          <w:p>
                            <w:pPr>
                              <w:rPr>
                                <w:rFonts w:eastAsia="宋体"/>
                              </w:rPr>
                            </w:pPr>
                            <w:r>
                              <w:rPr>
                                <w:rFonts w:hint="eastAsia"/>
                              </w:rPr>
                              <w:t>农村，35人，2.66%</w:t>
                            </w:r>
                          </w:p>
                        </w:txbxContent>
                      </wps:txbx>
                      <wps:bodyPr upright="1"/>
                    </wps:wsp>
                  </a:graphicData>
                </a:graphic>
              </wp:anchor>
            </w:drawing>
          </mc:Choice>
          <mc:Fallback>
            <w:pict>
              <v:shape id="自选图形 13" o:spid="_x0000_s1026" o:spt="61" type="#_x0000_t61" style="position:absolute;left:0pt;margin-left:81pt;margin-top:9.45pt;height:25.1pt;width:101.05pt;z-index:251687936;mso-width-relative:page;mso-height-relative:page;" fillcolor="#DCE6F2" filled="t" stroked="t" coordsize="21600,21600" o:gfxdata="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1HLe/XAAAACQEAAA8AAAAAAAAAAQAgAAAAIgAAAGRycy9kb3ducmV2LnhtbFBLAQIU&#10;ABQAAAAIAIdO4kCpcguDLQIAAEwEAAAOAAAAAAAAAAEAIAAAACYBAABkcnMvZTJvRG9jLnhtbFBL&#10;BQYAAAAABgAGAFkBAADFBQAAAAA=&#10;" adj="26356,17555">
                <v:fill on="t" focussize="0,0"/>
                <v:stroke color="#000000" joinstyle="miter"/>
                <v:imagedata o:title=""/>
                <o:lock v:ext="edit" aspectratio="f"/>
                <v:textbox>
                  <w:txbxContent>
                    <w:p>
                      <w:pPr>
                        <w:rPr>
                          <w:rFonts w:eastAsia="宋体"/>
                        </w:rPr>
                      </w:pPr>
                      <w:r>
                        <w:rPr>
                          <w:rFonts w:hint="eastAsia"/>
                        </w:rPr>
                        <w:t>农村，35人，2.66%</w:t>
                      </w:r>
                    </w:p>
                  </w:txbxContent>
                </v:textbox>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3154045</wp:posOffset>
                </wp:positionH>
                <wp:positionV relativeFrom="paragraph">
                  <wp:posOffset>219710</wp:posOffset>
                </wp:positionV>
                <wp:extent cx="1097280" cy="464820"/>
                <wp:effectExtent l="248920" t="4445" r="6350" b="26035"/>
                <wp:wrapNone/>
                <wp:docPr id="81" name="自选图形 14"/>
                <wp:cNvGraphicFramePr/>
                <a:graphic xmlns:a="http://schemas.openxmlformats.org/drawingml/2006/main">
                  <a:graphicData uri="http://schemas.microsoft.com/office/word/2010/wordprocessingShape">
                    <wps:wsp>
                      <wps:cNvSpPr/>
                      <wps:spPr>
                        <a:xfrm>
                          <a:off x="4297045" y="7372985"/>
                          <a:ext cx="1097280" cy="464820"/>
                        </a:xfrm>
                        <a:prstGeom prst="wedgeRectCallout">
                          <a:avLst>
                            <a:gd name="adj1" fmla="val -70659"/>
                            <a:gd name="adj2" fmla="val 51502"/>
                          </a:avLst>
                        </a:prstGeom>
                        <a:solidFill>
                          <a:srgbClr val="DCE6F2"/>
                        </a:solidFill>
                        <a:ln w="9525" cap="flat" cmpd="sng">
                          <a:solidFill>
                            <a:srgbClr val="000000"/>
                          </a:solidFill>
                          <a:prstDash val="solid"/>
                          <a:miter/>
                          <a:headEnd type="none" w="med" len="med"/>
                          <a:tailEnd type="none" w="med" len="med"/>
                        </a:ln>
                      </wps:spPr>
                      <wps:txbx>
                        <w:txbxContent>
                          <w:p>
                            <w:r>
                              <w:rPr>
                                <w:rFonts w:hint="eastAsia"/>
                              </w:rPr>
                              <w:t>城郊或乡镇，295人，22.40%</w:t>
                            </w:r>
                          </w:p>
                        </w:txbxContent>
                      </wps:txbx>
                      <wps:bodyPr upright="1"/>
                    </wps:wsp>
                  </a:graphicData>
                </a:graphic>
              </wp:anchor>
            </w:drawing>
          </mc:Choice>
          <mc:Fallback>
            <w:pict>
              <v:shape id="自选图形 14" o:spid="_x0000_s1026" o:spt="61" type="#_x0000_t61" style="position:absolute;left:0pt;margin-left:248.35pt;margin-top:17.3pt;height:36.6pt;width:86.4pt;z-index:251686912;mso-width-relative:page;mso-height-relative:page;" fillcolor="#DCE6F2" filled="t" stroked="t" coordsize="21600,21600" o:gfxdata="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J6Oyp2QAAAAoBAAAPAAAAAAAAAAEAIAAAACIAAABkcnMvZG93bnJldi54&#10;bWxQSwECFAAUAAAACACHTuJAKfN3ZDICAABNBAAADgAAAAAAAAABACAAAAAoAQAAZHJzL2Uyb0Rv&#10;Yy54bWxQSwUGAAAAAAYABgBZAQAAzAUAAAAA&#10;" adj="-4462,21924">
                <v:fill on="t" focussize="0,0"/>
                <v:stroke color="#000000" joinstyle="miter"/>
                <v:imagedata o:title=""/>
                <o:lock v:ext="edit" aspectratio="f"/>
                <v:textbox>
                  <w:txbxContent>
                    <w:p>
                      <w:r>
                        <w:rPr>
                          <w:rFonts w:hint="eastAsia"/>
                        </w:rPr>
                        <w:t>城郊或乡镇，295人，22.40%</w:t>
                      </w:r>
                    </w:p>
                  </w:txbxContent>
                </v:textbox>
              </v:shape>
            </w:pict>
          </mc:Fallback>
        </mc:AlternateContent>
      </w:r>
      <w:r>
        <w:drawing>
          <wp:inline distT="0" distB="0" distL="114300" distR="114300">
            <wp:extent cx="4227830" cy="1567180"/>
            <wp:effectExtent l="4445" t="5080" r="15875" b="8890"/>
            <wp:docPr id="29"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图4-2 抽样调查的2017届毕业生期望首选就业地的情况</w:t>
      </w:r>
    </w:p>
    <w:p>
      <w:pPr>
        <w:pStyle w:val="33"/>
        <w:spacing w:before="180" w:after="180" w:afterLines="0" w:line="360" w:lineRule="auto"/>
        <w:ind w:firstLine="482" w:firstLineChars="200"/>
        <w:outlineLvl w:val="2"/>
        <w:rPr>
          <w:rFonts w:ascii="Times New Roman" w:hAnsi="Times New Roman" w:eastAsia="宋体"/>
          <w:sz w:val="24"/>
          <w:szCs w:val="24"/>
        </w:rPr>
      </w:pPr>
      <w:bookmarkStart w:id="286" w:name="_Toc16282"/>
      <w:bookmarkStart w:id="287" w:name="_Toc501407870"/>
      <w:bookmarkStart w:id="288" w:name="_Toc428959551"/>
      <w:bookmarkStart w:id="289" w:name="_Toc491854139"/>
      <w:r>
        <w:rPr>
          <w:rFonts w:hint="eastAsia" w:ascii="Times New Roman" w:hAnsi="Times New Roman" w:eastAsia="宋体"/>
          <w:sz w:val="24"/>
          <w:szCs w:val="24"/>
        </w:rPr>
        <w:t>2．抽样调查的2017届毕业生求职初始首选的行业</w:t>
      </w:r>
      <w:bookmarkEnd w:id="286"/>
      <w:bookmarkEnd w:id="287"/>
      <w:bookmarkEnd w:id="288"/>
      <w:bookmarkEnd w:id="289"/>
      <w:r>
        <w:rPr>
          <w:rFonts w:hint="eastAsia" w:ascii="Times New Roman" w:hAnsi="Times New Roman" w:eastAsia="宋体"/>
          <w:sz w:val="24"/>
          <w:szCs w:val="24"/>
        </w:rPr>
        <w:t xml:space="preserve"> </w:t>
      </w:r>
    </w:p>
    <w:p>
      <w:pPr>
        <w:autoSpaceDE w:val="0"/>
        <w:spacing w:line="360" w:lineRule="auto"/>
        <w:ind w:firstLine="480" w:firstLineChars="200"/>
        <w:rPr>
          <w:rFonts w:ascii="Times New Roman" w:hAnsi="Times New Roman" w:eastAsia="宋体" w:cs="Times New Roman"/>
          <w:sz w:val="24"/>
          <w:szCs w:val="24"/>
        </w:rPr>
      </w:pPr>
      <w:bookmarkStart w:id="290" w:name="PO_321"/>
      <w:bookmarkEnd w:id="290"/>
      <w:r>
        <w:rPr>
          <w:rFonts w:hint="eastAsia" w:ascii="Times New Roman" w:hAnsi="Times New Roman" w:eastAsia="宋体" w:cs="Times New Roman"/>
          <w:sz w:val="24"/>
          <w:szCs w:val="24"/>
        </w:rPr>
        <w:t>毕业生期望首选的前三项就业行业，依次为：文化、体育和娱乐业（494份），教育（370份），信息传输、软件和信息技术服务业（121份），共占到有效样本总数的74.79%。</w:t>
      </w:r>
    </w:p>
    <w:p>
      <w:pPr>
        <w:jc w:val="center"/>
      </w:pPr>
      <w:bookmarkStart w:id="291" w:name="PO_322"/>
      <w:bookmarkEnd w:id="291"/>
      <w:r>
        <w:drawing>
          <wp:inline distT="0" distB="0" distL="114300" distR="114300">
            <wp:extent cx="5198110" cy="6265545"/>
            <wp:effectExtent l="4445" t="4445" r="9525" b="8890"/>
            <wp:docPr id="3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图4-3 抽样调查的2017届毕业生</w:t>
      </w:r>
      <w:bookmarkStart w:id="292" w:name="_Toc491854140"/>
      <w:bookmarkStart w:id="293" w:name="_Toc428959552"/>
      <w:bookmarkStart w:id="294" w:name="_Toc20227"/>
      <w:r>
        <w:rPr>
          <w:rFonts w:hint="eastAsia" w:ascii="Times New Roman" w:hAnsi="Times New Roman" w:eastAsia="宋体" w:cs="Times New Roman"/>
          <w:snapToGrid w:val="0"/>
          <w:sz w:val="24"/>
          <w:szCs w:val="24"/>
        </w:rPr>
        <w:t>期望首选的就业行业</w:t>
      </w:r>
    </w:p>
    <w:p>
      <w:pPr>
        <w:pStyle w:val="33"/>
        <w:spacing w:before="180" w:after="180" w:afterLines="0" w:line="360" w:lineRule="auto"/>
        <w:ind w:firstLine="482" w:firstLineChars="200"/>
        <w:outlineLvl w:val="2"/>
        <w:rPr>
          <w:rFonts w:ascii="Times New Roman" w:hAnsi="Times New Roman" w:eastAsia="宋体"/>
          <w:sz w:val="24"/>
          <w:szCs w:val="24"/>
        </w:rPr>
      </w:pPr>
      <w:bookmarkStart w:id="295" w:name="_Toc501407871"/>
      <w:r>
        <w:rPr>
          <w:rFonts w:hint="eastAsia" w:ascii="Times New Roman" w:hAnsi="Times New Roman" w:eastAsia="宋体"/>
          <w:sz w:val="24"/>
          <w:szCs w:val="24"/>
        </w:rPr>
        <w:t>3．抽样调查的2017届毕业生求职初始首选的就业单位类型</w:t>
      </w:r>
      <w:bookmarkEnd w:id="292"/>
      <w:bookmarkEnd w:id="293"/>
      <w:bookmarkEnd w:id="294"/>
      <w:bookmarkEnd w:id="295"/>
    </w:p>
    <w:p>
      <w:pPr>
        <w:autoSpaceDE w:val="0"/>
        <w:spacing w:line="360" w:lineRule="auto"/>
        <w:ind w:firstLine="480" w:firstLineChars="200"/>
        <w:rPr>
          <w:rFonts w:ascii="Times New Roman" w:hAnsi="Times New Roman" w:eastAsia="宋体" w:cs="Times New Roman"/>
          <w:sz w:val="24"/>
          <w:szCs w:val="24"/>
        </w:rPr>
      </w:pPr>
      <w:bookmarkStart w:id="296" w:name="PO_331"/>
      <w:bookmarkEnd w:id="296"/>
      <w:r>
        <w:rPr>
          <w:rFonts w:hint="eastAsia" w:ascii="Times New Roman" w:hAnsi="Times New Roman" w:eastAsia="宋体" w:cs="Times New Roman"/>
          <w:sz w:val="24"/>
          <w:szCs w:val="24"/>
        </w:rPr>
        <w:t>从毕业生首选就业单位类型上看，排在前三的首选单位类型是其他企业（456份）、其他事业单位（165份）、国有企业（155份），共占到有效样本总数的58.92%。</w:t>
      </w:r>
    </w:p>
    <w:p>
      <w:r>
        <w:drawing>
          <wp:inline distT="0" distB="0" distL="114300" distR="114300">
            <wp:extent cx="5100955" cy="2389505"/>
            <wp:effectExtent l="4445" t="4445" r="19050" b="6350"/>
            <wp:docPr id="3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图4-4 抽样调查的2017届毕业生期望首选的就业单位类型</w:t>
      </w:r>
    </w:p>
    <w:p>
      <w:pPr>
        <w:pStyle w:val="33"/>
        <w:spacing w:before="180" w:after="180" w:afterLines="0" w:line="360" w:lineRule="auto"/>
        <w:ind w:firstLine="482" w:firstLineChars="200"/>
        <w:outlineLvl w:val="2"/>
        <w:rPr>
          <w:rFonts w:ascii="Times New Roman" w:hAnsi="Times New Roman" w:eastAsia="宋体"/>
          <w:sz w:val="24"/>
          <w:szCs w:val="24"/>
        </w:rPr>
      </w:pPr>
      <w:bookmarkStart w:id="297" w:name="_Toc501407872"/>
      <w:bookmarkStart w:id="298" w:name="_Toc31224"/>
      <w:bookmarkStart w:id="299" w:name="_Toc491854141"/>
      <w:bookmarkStart w:id="300" w:name="_Toc428959553"/>
      <w:r>
        <w:rPr>
          <w:rFonts w:hint="eastAsia" w:ascii="Times New Roman" w:hAnsi="Times New Roman" w:eastAsia="宋体"/>
          <w:sz w:val="24"/>
          <w:szCs w:val="24"/>
        </w:rPr>
        <w:t>4．抽样调查的2017届毕业生求职初始期望工作转正后的税前年薪</w:t>
      </w:r>
      <w:bookmarkEnd w:id="297"/>
      <w:r>
        <w:rPr>
          <w:rFonts w:hint="eastAsia" w:ascii="Times New Roman" w:hAnsi="Times New Roman" w:eastAsia="宋体"/>
          <w:sz w:val="24"/>
          <w:szCs w:val="24"/>
        </w:rPr>
        <w:t xml:space="preserve">   </w:t>
      </w:r>
      <w:bookmarkEnd w:id="298"/>
      <w:bookmarkEnd w:id="299"/>
      <w:bookmarkEnd w:id="300"/>
    </w:p>
    <w:p>
      <w:pPr>
        <w:autoSpaceDE w:val="0"/>
        <w:spacing w:line="360" w:lineRule="auto"/>
        <w:ind w:firstLine="480" w:firstLineChars="200"/>
        <w:rPr>
          <w:rFonts w:ascii="Times New Roman" w:hAnsi="Times New Roman" w:eastAsia="宋体" w:cs="Times New Roman"/>
          <w:sz w:val="24"/>
          <w:szCs w:val="24"/>
        </w:rPr>
      </w:pPr>
      <w:bookmarkStart w:id="301" w:name="PO_341"/>
      <w:bookmarkEnd w:id="301"/>
      <w:r>
        <w:rPr>
          <w:rFonts w:hint="eastAsia" w:ascii="Times New Roman" w:hAnsi="Times New Roman" w:eastAsia="宋体" w:cs="Times New Roman"/>
          <w:sz w:val="24"/>
          <w:szCs w:val="24"/>
        </w:rPr>
        <w:t>调查显示，抽样调查的2017届毕业生毕业生工作转正后期望的税前平均月薪为5983.33元（N=1317，包括各类奖金与现金奖励）。</w:t>
      </w:r>
    </w:p>
    <w:p>
      <w:pPr>
        <w:pStyle w:val="4"/>
        <w:autoSpaceDE w:val="0"/>
        <w:spacing w:beforeLines="0" w:afterLines="0" w:line="312" w:lineRule="auto"/>
        <w:ind w:firstLine="0" w:firstLineChars="0"/>
        <w:jc w:val="both"/>
        <w:rPr>
          <w:rFonts w:eastAsia="黑体"/>
          <w:bCs w:val="0"/>
          <w:snapToGrid/>
          <w:sz w:val="28"/>
          <w:szCs w:val="28"/>
        </w:rPr>
      </w:pPr>
      <w:bookmarkStart w:id="302" w:name="_Toc501407873"/>
      <w:bookmarkStart w:id="303" w:name="_Toc428959554"/>
      <w:bookmarkStart w:id="304" w:name="_Toc491854142"/>
      <w:bookmarkStart w:id="305" w:name="_Toc20989"/>
      <w:r>
        <w:rPr>
          <w:rFonts w:hint="eastAsia" w:eastAsia="黑体"/>
          <w:bCs w:val="0"/>
          <w:snapToGrid/>
          <w:sz w:val="28"/>
          <w:szCs w:val="28"/>
        </w:rPr>
        <w:t>（二）抽样调查的2017届毕业生就业落实过程情况调查</w:t>
      </w:r>
      <w:bookmarkEnd w:id="302"/>
    </w:p>
    <w:p>
      <w:pPr>
        <w:pStyle w:val="33"/>
        <w:spacing w:before="180" w:after="180" w:afterLines="0" w:line="360" w:lineRule="auto"/>
        <w:ind w:firstLine="482" w:firstLineChars="200"/>
        <w:outlineLvl w:val="2"/>
        <w:rPr>
          <w:rFonts w:ascii="Times New Roman" w:hAnsi="Times New Roman" w:eastAsia="宋体"/>
          <w:sz w:val="24"/>
          <w:szCs w:val="24"/>
        </w:rPr>
      </w:pPr>
      <w:bookmarkStart w:id="306" w:name="_Toc501407874"/>
      <w:r>
        <w:rPr>
          <w:rFonts w:hint="eastAsia" w:ascii="Times New Roman" w:hAnsi="Times New Roman" w:eastAsia="宋体"/>
          <w:sz w:val="24"/>
          <w:szCs w:val="24"/>
        </w:rPr>
        <w:t>1．抽样调查的2017届毕业生求职过程投递简历与面试情况</w:t>
      </w:r>
      <w:bookmarkEnd w:id="303"/>
      <w:bookmarkEnd w:id="304"/>
      <w:bookmarkEnd w:id="305"/>
      <w:bookmarkEnd w:id="306"/>
    </w:p>
    <w:p>
      <w:pPr>
        <w:autoSpaceDE w:val="0"/>
        <w:spacing w:line="360" w:lineRule="auto"/>
        <w:ind w:firstLine="480" w:firstLineChars="200"/>
        <w:rPr>
          <w:rFonts w:ascii="Times New Roman" w:hAnsi="Times New Roman" w:eastAsia="宋体" w:cs="Times New Roman"/>
          <w:sz w:val="24"/>
          <w:szCs w:val="24"/>
        </w:rPr>
      </w:pPr>
      <w:bookmarkStart w:id="307" w:name="PO_351"/>
      <w:bookmarkEnd w:id="307"/>
      <w:r>
        <w:rPr>
          <w:rFonts w:hint="eastAsia" w:ascii="Times New Roman" w:hAnsi="Times New Roman" w:eastAsia="宋体" w:cs="Times New Roman"/>
          <w:sz w:val="24"/>
          <w:szCs w:val="24"/>
        </w:rPr>
        <w:t>毕业生求职过程中平均投递简历14.31份，平均收到面试邀请7.40份。调查显示，本校毕业生用于求职的总花费平均为1898.90元（N=1317）。</w:t>
      </w:r>
    </w:p>
    <w:p>
      <w:pPr>
        <w:pStyle w:val="35"/>
        <w:ind w:firstLine="480"/>
        <w:jc w:val="center"/>
      </w:pPr>
      <w:r>
        <mc:AlternateContent>
          <mc:Choice Requires="wpg">
            <w:drawing>
              <wp:anchor distT="0" distB="0" distL="114300" distR="114300" simplePos="0" relativeHeight="251676672" behindDoc="0" locked="0" layoutInCell="1" allowOverlap="1">
                <wp:simplePos x="0" y="0"/>
                <wp:positionH relativeFrom="column">
                  <wp:posOffset>1169035</wp:posOffset>
                </wp:positionH>
                <wp:positionV relativeFrom="paragraph">
                  <wp:posOffset>64770</wp:posOffset>
                </wp:positionV>
                <wp:extent cx="3173730" cy="1086485"/>
                <wp:effectExtent l="0" t="0" r="7620" b="18415"/>
                <wp:wrapNone/>
                <wp:docPr id="25" name="组合 25"/>
                <wp:cNvGraphicFramePr/>
                <a:graphic xmlns:a="http://schemas.openxmlformats.org/drawingml/2006/main">
                  <a:graphicData uri="http://schemas.microsoft.com/office/word/2010/wordprocessingGroup">
                    <wpg:wgp>
                      <wpg:cNvGrpSpPr/>
                      <wpg:grpSpPr>
                        <a:xfrm>
                          <a:off x="0" y="0"/>
                          <a:ext cx="3173730" cy="1086485"/>
                          <a:chOff x="4772" y="764976"/>
                          <a:chExt cx="4998" cy="1711"/>
                        </a:xfrm>
                      </wpg:grpSpPr>
                      <wpg:grpSp>
                        <wpg:cNvPr id="10" name="组合 10"/>
                        <wpg:cNvGrpSpPr/>
                        <wpg:grpSpPr>
                          <a:xfrm>
                            <a:off x="5389" y="764976"/>
                            <a:ext cx="3674" cy="1334"/>
                            <a:chOff x="7379" y="764935"/>
                            <a:chExt cx="3674" cy="1334"/>
                          </a:xfrm>
                        </wpg:grpSpPr>
                        <pic:pic xmlns:pic="http://schemas.openxmlformats.org/drawingml/2006/picture">
                          <pic:nvPicPr>
                            <pic:cNvPr id="37" name="图形 10" descr="报纸"/>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7379" y="764935"/>
                              <a:ext cx="1320" cy="1320"/>
                            </a:xfrm>
                            <a:prstGeom prst="rect">
                              <a:avLst/>
                            </a:prstGeom>
                          </pic:spPr>
                        </pic:pic>
                        <wps:wsp>
                          <wps:cNvPr id="76" name="AutoShape 3"/>
                          <wps:cNvCnPr/>
                          <wps:spPr>
                            <a:xfrm>
                              <a:off x="8714" y="765625"/>
                              <a:ext cx="945" cy="0"/>
                            </a:xfrm>
                            <a:prstGeom prst="straightConnector1">
                              <a:avLst/>
                            </a:prstGeom>
                            <a:ln w="9525" cap="flat" cmpd="sng">
                              <a:solidFill>
                                <a:schemeClr val="accent1">
                                  <a:lumMod val="75000"/>
                                </a:schemeClr>
                              </a:solidFill>
                              <a:prstDash val="solid"/>
                              <a:headEnd type="none" w="med" len="med"/>
                              <a:tailEnd type="triangle" w="med" len="med"/>
                            </a:ln>
                          </wps:spPr>
                          <wps:bodyPr/>
                        </wps:wsp>
                        <pic:pic xmlns:pic="http://schemas.openxmlformats.org/drawingml/2006/picture">
                          <pic:nvPicPr>
                            <pic:cNvPr id="35" name="图形 9" descr="用户"/>
                            <pic:cNvPicPr>
                              <a:picLocks noChangeAspect="1"/>
                            </pic:cNvPicPr>
                          </pic:nvPicPr>
                          <pic:blipFill>
                            <a:blip r:embed="rId44" cstate="print">
                              <a:extLst>
                                <a:ext uri="{28A0092B-C50C-407E-A947-70E740481C1C}">
                                  <a14:useLocalDpi xmlns:a14="http://schemas.microsoft.com/office/drawing/2010/main" val="0"/>
                                </a:ext>
                              </a:extLst>
                            </a:blip>
                            <a:stretch>
                              <a:fillRect/>
                            </a:stretch>
                          </pic:blipFill>
                          <pic:spPr>
                            <a:xfrm>
                              <a:off x="9719" y="764935"/>
                              <a:ext cx="1335" cy="1335"/>
                            </a:xfrm>
                            <a:prstGeom prst="rect">
                              <a:avLst/>
                            </a:prstGeom>
                          </pic:spPr>
                        </pic:pic>
                      </wpg:grpSp>
                      <wps:wsp>
                        <wps:cNvPr id="23" name="文本框 23"/>
                        <wps:cNvSpPr txBox="1"/>
                        <wps:spPr>
                          <a:xfrm>
                            <a:off x="4772" y="766221"/>
                            <a:ext cx="2170" cy="466"/>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20"/>
                                  <w:szCs w:val="20"/>
                                </w:rPr>
                              </w:pPr>
                              <w:r>
                                <w:rPr>
                                  <w:rFonts w:hint="eastAsia"/>
                                  <w:sz w:val="20"/>
                                  <w:szCs w:val="20"/>
                                </w:rPr>
                                <w:t>投递</w:t>
                              </w:r>
                              <w:bookmarkStart w:id="487" w:name="PO_352A"/>
                              <w:bookmarkEnd w:id="487"/>
                              <w:r>
                                <w:rPr>
                                  <w:sz w:val="20"/>
                                  <w:szCs w:val="20"/>
                                </w:rPr>
                                <w:t>14.31</w:t>
                              </w:r>
                              <w:r>
                                <w:rPr>
                                  <w:rFonts w:hint="eastAsia"/>
                                  <w:sz w:val="20"/>
                                  <w:szCs w:val="20"/>
                                </w:rPr>
                                <w:t>份</w:t>
                              </w:r>
                              <w:r>
                                <w:rPr>
                                  <w:sz w:val="20"/>
                                  <w:szCs w:val="20"/>
                                </w:rPr>
                                <w:t>简历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 name="文本框 24"/>
                        <wps:cNvSpPr txBox="1"/>
                        <wps:spPr>
                          <a:xfrm>
                            <a:off x="7358" y="766161"/>
                            <a:ext cx="2413" cy="466"/>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20"/>
                                  <w:szCs w:val="20"/>
                                </w:rPr>
                              </w:pPr>
                              <w:r>
                                <w:rPr>
                                  <w:rFonts w:hint="eastAsia"/>
                                  <w:sz w:val="20"/>
                                  <w:szCs w:val="20"/>
                                </w:rPr>
                                <w:t>获得</w:t>
                              </w:r>
                              <w:r>
                                <w:rPr>
                                  <w:sz w:val="20"/>
                                  <w:szCs w:val="20"/>
                                </w:rPr>
                                <w:t>7.40</w:t>
                              </w:r>
                              <w:r>
                                <w:rPr>
                                  <w:rFonts w:hint="eastAsia"/>
                                  <w:sz w:val="20"/>
                                  <w:szCs w:val="20"/>
                                </w:rPr>
                                <w:t>份面试邀请</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92.05pt;margin-top:5.1pt;height:85.55pt;width:249.9pt;z-index:251676672;mso-width-relative:page;mso-height-relative:page;" coordorigin="4772,764976" coordsize="4998,1711" o:gfxdata="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">
                <o:lock v:ext="edit" aspectratio="f"/>
                <v:group id="_x0000_s1026" o:spid="_x0000_s1026" o:spt="203" style="position:absolute;left:5389;top:764976;height:1334;width:3674;" coordorigin="7379,764935" coordsize="3674,1334"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shape id="图形 10" o:spid="_x0000_s1026" o:spt="75" alt="报纸" type="#_x0000_t75" style="position:absolute;left:7379;top:764935;height:1320;width:1320;" filled="f" o:preferrelative="t" stroked="f" coordsize="21600,21600" o:gfxdata="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zke6vQAA&#10;ANsAAAAPAAAAAAAAAAEAIAAAACIAAABkcnMvZG93bnJldi54bWxQSwECFAAUAAAACACHTuJAMy8F&#10;njsAAAA5AAAAEAAAAAAAAAABACAAAAAMAQAAZHJzL3NoYXBleG1sLnhtbFBLBQYAAAAABgAGAFsB&#10;AAC2AwAAAAA=&#10;">
                    <v:fill on="f" focussize="0,0"/>
                    <v:stroke on="f"/>
                    <v:imagedata r:id="rId43" o:title=""/>
                    <o:lock v:ext="edit" aspectratio="t"/>
                  </v:shape>
                  <v:shape id="AutoShape 3" o:spid="_x0000_s1026" o:spt="32" type="#_x0000_t32" style="position:absolute;left:8714;top:765625;height:0;width:945;" filled="f" stroked="t" coordsize="21600,21600" o:gfxdata="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DQ2FNtwAAANsAAAAP&#10;AAAAAAAAAAEAIAAAACIAAABkcnMvZG93bnJldi54bWxQSwECFAAUAAAACACHTuJAMy8FnjsAAAA5&#10;AAAAEAAAAAAAAAABACAAAAAGAQAAZHJzL3NoYXBleG1sLnhtbFBLBQYAAAAABgAGAFsBAACwAwAA&#10;AAA=&#10;">
                    <v:fill on="f" focussize="0,0"/>
                    <v:stroke color="#2E75B6 [2404]" joinstyle="round" endarrow="block"/>
                    <v:imagedata o:title=""/>
                    <o:lock v:ext="edit" aspectratio="f"/>
                  </v:shape>
                  <v:shape id="图形 9" o:spid="_x0000_s1026" o:spt="75" alt="用户" type="#_x0000_t75" style="position:absolute;left:9719;top:764935;height:1335;width:1335;" filled="f" o:preferrelative="t" stroked="f" coordsize="21600,21600" o:gfxdata="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UHexr4A&#10;AADbAAAADwAAAAAAAAABACAAAAAiAAAAZHJzL2Rvd25yZXYueG1sUEsBAhQAFAAAAAgAh07iQDMv&#10;BZ47AAAAOQAAABAAAAAAAAAAAQAgAAAADQEAAGRycy9zaGFwZXhtbC54bWxQSwUGAAAAAAYABgBb&#10;AQAAtwMAAAAA&#10;">
                    <v:fill on="f" focussize="0,0"/>
                    <v:stroke on="f"/>
                    <v:imagedata r:id="rId44" o:title=""/>
                    <o:lock v:ext="edit" aspectratio="t"/>
                  </v:shape>
                </v:group>
                <v:shape id="_x0000_s1026" o:spid="_x0000_s1026" o:spt="202" type="#_x0000_t202" style="position:absolute;left:4772;top:766221;height:466;width:2170;" fillcolor="#FFFFFF [3201]" filled="t" stroked="f" coordsize="21600,21600" o:gfxdata="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O/ny8AAAA&#10;2wAAAA8AAAAAAAAAAQAgAAAAIgAAAGRycy9kb3ducmV2LnhtbFBLAQIUABQAAAAIAIdO4kAzLwWe&#10;OwAAADkAAAAQAAAAAAAAAAEAIAAAAAsBAABkcnMvc2hhcGV4bWwueG1sUEsFBgAAAAAGAAYAWwEA&#10;ALUDAAAAAA==&#10;">
                  <v:fill on="t" focussize="0,0"/>
                  <v:stroke on="f" weight="0.5pt"/>
                  <v:imagedata o:title=""/>
                  <o:lock v:ext="edit" aspectratio="f"/>
                  <v:textbox>
                    <w:txbxContent>
                      <w:p>
                        <w:pPr>
                          <w:rPr>
                            <w:sz w:val="20"/>
                            <w:szCs w:val="20"/>
                          </w:rPr>
                        </w:pPr>
                        <w:r>
                          <w:rPr>
                            <w:rFonts w:hint="eastAsia"/>
                            <w:sz w:val="20"/>
                            <w:szCs w:val="20"/>
                          </w:rPr>
                          <w:t>投递</w:t>
                        </w:r>
                        <w:bookmarkStart w:id="487" w:name="PO_352A"/>
                        <w:bookmarkEnd w:id="487"/>
                        <w:r>
                          <w:rPr>
                            <w:sz w:val="20"/>
                            <w:szCs w:val="20"/>
                          </w:rPr>
                          <w:t>14.31</w:t>
                        </w:r>
                        <w:r>
                          <w:rPr>
                            <w:rFonts w:hint="eastAsia"/>
                            <w:sz w:val="20"/>
                            <w:szCs w:val="20"/>
                          </w:rPr>
                          <w:t>份</w:t>
                        </w:r>
                        <w:r>
                          <w:rPr>
                            <w:sz w:val="20"/>
                            <w:szCs w:val="20"/>
                          </w:rPr>
                          <w:t>简历</w:t>
                        </w:r>
                      </w:p>
                    </w:txbxContent>
                  </v:textbox>
                </v:shape>
                <v:shape id="_x0000_s1026" o:spid="_x0000_s1026" o:spt="202" type="#_x0000_t202" style="position:absolute;left:7358;top:766161;height:466;width:2413;" fillcolor="#FFFFFF [3201]" filled="t" stroked="f" coordsize="21600,21600" o:gfxdata="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rnZgi2AAAA2wAAAA8A&#10;AAAAAAAAAQAgAAAAIgAAAGRycy9kb3ducmV2LnhtbFBLAQIUABQAAAAIAIdO4kAzLwWeOwAAADkA&#10;AAAQAAAAAAAAAAEAIAAAAAUBAABkcnMvc2hhcGV4bWwueG1sUEsFBgAAAAAGAAYAWwEAAK8DAAAA&#10;AA==&#10;">
                  <v:fill on="t" focussize="0,0"/>
                  <v:stroke on="f" weight="0.5pt"/>
                  <v:imagedata o:title=""/>
                  <o:lock v:ext="edit" aspectratio="f"/>
                  <v:textbox>
                    <w:txbxContent>
                      <w:p>
                        <w:pPr>
                          <w:rPr>
                            <w:sz w:val="20"/>
                            <w:szCs w:val="20"/>
                          </w:rPr>
                        </w:pPr>
                        <w:r>
                          <w:rPr>
                            <w:rFonts w:hint="eastAsia"/>
                            <w:sz w:val="20"/>
                            <w:szCs w:val="20"/>
                          </w:rPr>
                          <w:t>获得</w:t>
                        </w:r>
                        <w:r>
                          <w:rPr>
                            <w:sz w:val="20"/>
                            <w:szCs w:val="20"/>
                          </w:rPr>
                          <w:t>7.40</w:t>
                        </w:r>
                        <w:r>
                          <w:rPr>
                            <w:rFonts w:hint="eastAsia"/>
                            <w:sz w:val="20"/>
                            <w:szCs w:val="20"/>
                          </w:rPr>
                          <w:t>份面试邀请</w:t>
                        </w:r>
                      </w:p>
                    </w:txbxContent>
                  </v:textbox>
                </v:shape>
              </v:group>
            </w:pict>
          </mc:Fallback>
        </mc:AlternateContent>
      </w:r>
    </w:p>
    <w:p>
      <w:pPr>
        <w:pStyle w:val="35"/>
        <w:ind w:firstLine="480"/>
      </w:pPr>
      <w:bookmarkStart w:id="308" w:name="_Toc428959557"/>
    </w:p>
    <w:p>
      <w:pPr>
        <w:pStyle w:val="35"/>
        <w:ind w:firstLine="480"/>
      </w:pPr>
    </w:p>
    <w:p>
      <w:pPr>
        <w:pStyle w:val="35"/>
        <w:tabs>
          <w:tab w:val="left" w:pos="2700"/>
          <w:tab w:val="left" w:pos="4830"/>
        </w:tabs>
        <w:ind w:firstLine="360"/>
        <w:jc w:val="center"/>
        <w:rPr>
          <w:sz w:val="18"/>
          <w:szCs w:val="18"/>
        </w:rPr>
      </w:pPr>
      <w:r>
        <w:rPr>
          <w:sz w:val="18"/>
          <w:szCs w:val="18"/>
        </w:rPr>
        <w:tab/>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图4-5 抽样调查的2017届毕业生投递简历与面试情况</w:t>
      </w:r>
      <w:bookmarkEnd w:id="308"/>
    </w:p>
    <w:p>
      <w:pPr>
        <w:pStyle w:val="33"/>
        <w:spacing w:before="180" w:after="180" w:afterLines="0" w:line="360" w:lineRule="auto"/>
        <w:ind w:firstLine="482" w:firstLineChars="200"/>
        <w:outlineLvl w:val="2"/>
        <w:rPr>
          <w:rFonts w:ascii="Times New Roman" w:hAnsi="Times New Roman" w:eastAsia="宋体"/>
          <w:sz w:val="24"/>
          <w:szCs w:val="24"/>
        </w:rPr>
      </w:pPr>
      <w:bookmarkStart w:id="309" w:name="_Toc428959558"/>
      <w:bookmarkStart w:id="310" w:name="_Toc501407875"/>
      <w:bookmarkStart w:id="311" w:name="_Toc16902"/>
      <w:bookmarkStart w:id="312" w:name="_Toc491854144"/>
      <w:r>
        <w:rPr>
          <w:rFonts w:hint="eastAsia" w:ascii="Times New Roman" w:hAnsi="Times New Roman" w:eastAsia="宋体"/>
          <w:sz w:val="24"/>
          <w:szCs w:val="24"/>
        </w:rPr>
        <w:t>2．</w:t>
      </w:r>
      <w:bookmarkEnd w:id="309"/>
      <w:r>
        <w:rPr>
          <w:rFonts w:hint="eastAsia" w:ascii="Times New Roman" w:hAnsi="Times New Roman" w:eastAsia="宋体"/>
          <w:sz w:val="24"/>
          <w:szCs w:val="24"/>
        </w:rPr>
        <w:t>抽样调查的2017届毕业生求职过程中的积极程度</w:t>
      </w:r>
      <w:bookmarkEnd w:id="310"/>
      <w:bookmarkEnd w:id="311"/>
      <w:bookmarkEnd w:id="312"/>
    </w:p>
    <w:p>
      <w:pPr>
        <w:autoSpaceDE w:val="0"/>
        <w:spacing w:line="360" w:lineRule="auto"/>
        <w:ind w:firstLine="480" w:firstLineChars="200"/>
        <w:rPr>
          <w:rFonts w:ascii="Times New Roman" w:hAnsi="Times New Roman" w:eastAsia="宋体" w:cs="Times New Roman"/>
          <w:sz w:val="24"/>
          <w:szCs w:val="24"/>
        </w:rPr>
      </w:pPr>
      <w:bookmarkStart w:id="313" w:name="PO_371"/>
      <w:bookmarkEnd w:id="313"/>
      <w:r>
        <w:rPr>
          <w:rFonts w:hint="eastAsia" w:ascii="Times New Roman" w:hAnsi="Times New Roman" w:eastAsia="宋体" w:cs="Times New Roman"/>
          <w:sz w:val="24"/>
          <w:szCs w:val="24"/>
        </w:rPr>
        <w:t>在求职过程中，39.94%的毕业生认为自己在求职过程中“很积极”，45.50%的人认为自己在求职过程中“积极”，9.34%表示“不好说”，5.69%的人在求职过程中“不积极”，0.53%在求职过程中“很不积极”。</w:t>
      </w:r>
    </w:p>
    <w:p>
      <w:pPr>
        <w:jc w:val="center"/>
      </w:pPr>
      <w:bookmarkStart w:id="314" w:name="PO_372"/>
      <w:bookmarkEnd w:id="314"/>
      <w:r>
        <w:drawing>
          <wp:inline distT="0" distB="0" distL="114300" distR="114300">
            <wp:extent cx="4639310" cy="2183130"/>
            <wp:effectExtent l="4445" t="5080" r="23495" b="21590"/>
            <wp:docPr id="3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图4-6 抽样调查的2017届毕业生求职积极程度</w:t>
      </w:r>
    </w:p>
    <w:p>
      <w:pPr>
        <w:pStyle w:val="33"/>
        <w:spacing w:before="180" w:after="180" w:afterLines="0" w:line="360" w:lineRule="auto"/>
        <w:ind w:firstLine="482" w:firstLineChars="200"/>
        <w:outlineLvl w:val="2"/>
        <w:rPr>
          <w:rFonts w:ascii="Times New Roman" w:hAnsi="Times New Roman" w:eastAsia="宋体"/>
          <w:sz w:val="24"/>
          <w:szCs w:val="24"/>
        </w:rPr>
      </w:pPr>
      <w:bookmarkStart w:id="315" w:name="_Toc428959575"/>
      <w:bookmarkStart w:id="316" w:name="_Toc491854145"/>
      <w:bookmarkStart w:id="317" w:name="_Toc501407876"/>
      <w:bookmarkStart w:id="318" w:name="_Toc18987"/>
      <w:r>
        <w:rPr>
          <w:rFonts w:hint="eastAsia" w:ascii="Times New Roman" w:hAnsi="Times New Roman" w:eastAsia="宋体"/>
          <w:sz w:val="24"/>
          <w:szCs w:val="24"/>
        </w:rPr>
        <w:t>3．</w:t>
      </w:r>
      <w:bookmarkEnd w:id="315"/>
      <w:r>
        <w:rPr>
          <w:rFonts w:hint="eastAsia" w:ascii="Times New Roman" w:hAnsi="Times New Roman" w:eastAsia="宋体"/>
          <w:sz w:val="24"/>
          <w:szCs w:val="24"/>
        </w:rPr>
        <w:t>抽样调查的2017届毕业生求职渠道</w:t>
      </w:r>
      <w:bookmarkEnd w:id="316"/>
      <w:bookmarkEnd w:id="317"/>
      <w:bookmarkEnd w:id="318"/>
    </w:p>
    <w:p>
      <w:pPr>
        <w:autoSpaceDE w:val="0"/>
        <w:spacing w:line="360" w:lineRule="auto"/>
        <w:ind w:firstLine="480" w:firstLineChars="200"/>
        <w:rPr>
          <w:rFonts w:ascii="Times New Roman" w:hAnsi="Times New Roman" w:eastAsia="宋体" w:cs="Times New Roman"/>
          <w:sz w:val="24"/>
          <w:szCs w:val="24"/>
        </w:rPr>
      </w:pPr>
      <w:bookmarkStart w:id="319" w:name="PO_381"/>
      <w:bookmarkEnd w:id="319"/>
      <w:r>
        <w:rPr>
          <w:rFonts w:hint="eastAsia" w:ascii="Times New Roman" w:hAnsi="Times New Roman" w:eastAsia="宋体" w:cs="Times New Roman"/>
          <w:sz w:val="24"/>
          <w:szCs w:val="24"/>
        </w:rPr>
        <w:t>本题为多选题，调查显示，在求职过程中，毕业生使用的主要三种求职渠道依次为：社会渠道、学校组织的招聘会、学校发布的招聘信息。</w:t>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表4-1 抽样调查的2017届毕业生求职渠道</w:t>
      </w:r>
    </w:p>
    <w:tbl>
      <w:tblPr>
        <w:tblStyle w:val="27"/>
        <w:tblW w:w="49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Borders>
              <w:top w:val="single" w:color="4BACC6" w:sz="8" w:space="0"/>
              <w:left w:val="single" w:color="4BACC6" w:sz="8" w:space="0"/>
              <w:bottom w:val="single" w:color="FFFFFF" w:sz="8" w:space="0"/>
              <w:right w:val="single" w:color="4BACC6" w:sz="8" w:space="0"/>
            </w:tcBorders>
            <w:shd w:val="clear" w:color="auto" w:fill="4BACC6"/>
            <w:vAlign w:val="center"/>
          </w:tcPr>
          <w:p>
            <w:pPr>
              <w:jc w:val="center"/>
              <w:rPr>
                <w:rFonts w:ascii="Arial" w:hAnsi="Arial" w:eastAsia="宋体" w:cs="宋体"/>
                <w:b/>
                <w:kern w:val="0"/>
                <w:sz w:val="20"/>
                <w:szCs w:val="21"/>
                <w:lang w:bidi="ar"/>
              </w:rPr>
            </w:pPr>
            <w:r>
              <w:rPr>
                <w:rFonts w:hint="eastAsia" w:ascii="Arial" w:hAnsi="Arial" w:eastAsia="宋体" w:cs="宋体"/>
                <w:b/>
                <w:kern w:val="0"/>
                <w:sz w:val="20"/>
                <w:szCs w:val="21"/>
                <w:lang w:bidi="ar"/>
              </w:rPr>
              <w:t>求职渠道</w:t>
            </w:r>
          </w:p>
        </w:tc>
        <w:tc>
          <w:tcPr>
            <w:tcW w:w="1417" w:type="dxa"/>
            <w:tcBorders>
              <w:top w:val="single" w:color="4BACC6" w:sz="8" w:space="0"/>
              <w:left w:val="single" w:color="4BACC6" w:sz="8" w:space="0"/>
              <w:bottom w:val="single" w:color="FFFFFF" w:sz="8" w:space="0"/>
              <w:right w:val="single" w:color="4BACC6" w:sz="8" w:space="0"/>
            </w:tcBorders>
            <w:shd w:val="clear" w:color="auto" w:fill="4BACC6"/>
            <w:vAlign w:val="center"/>
          </w:tcPr>
          <w:p>
            <w:pPr>
              <w:widowControl/>
              <w:jc w:val="center"/>
              <w:textAlignment w:val="top"/>
              <w:rPr>
                <w:rFonts w:ascii="Arial" w:hAnsi="Arial" w:eastAsia="宋体" w:cs="Times New Roman"/>
                <w:b/>
                <w:kern w:val="0"/>
                <w:sz w:val="20"/>
                <w:szCs w:val="21"/>
                <w:lang w:bidi="ar"/>
              </w:rPr>
            </w:pPr>
            <w:r>
              <w:rPr>
                <w:rFonts w:hint="eastAsia" w:ascii="Arial" w:hAnsi="Arial" w:eastAsia="宋体" w:cs="宋体"/>
                <w:b/>
                <w:kern w:val="0"/>
                <w:sz w:val="20"/>
                <w:szCs w:val="21"/>
                <w:lang w:bidi="ar"/>
              </w:rPr>
              <w:t>N</w:t>
            </w:r>
          </w:p>
        </w:tc>
        <w:tc>
          <w:tcPr>
            <w:tcW w:w="1417" w:type="dxa"/>
            <w:tcBorders>
              <w:top w:val="single" w:color="4BACC6" w:sz="8" w:space="0"/>
              <w:left w:val="single" w:color="4BACC6" w:sz="8" w:space="0"/>
              <w:bottom w:val="single" w:color="FFFFFF" w:sz="8" w:space="0"/>
              <w:right w:val="single" w:color="4BACC6" w:sz="8" w:space="0"/>
            </w:tcBorders>
            <w:shd w:val="clear" w:color="auto" w:fill="4BACC6"/>
            <w:vAlign w:val="center"/>
          </w:tcPr>
          <w:p>
            <w:pPr>
              <w:widowControl/>
              <w:jc w:val="center"/>
              <w:textAlignment w:val="top"/>
              <w:rPr>
                <w:rFonts w:ascii="Arial" w:hAnsi="Arial" w:eastAsia="宋体" w:cs="Times New Roman"/>
                <w:b/>
                <w:kern w:val="0"/>
                <w:sz w:val="20"/>
                <w:szCs w:val="21"/>
                <w:lang w:bidi="ar"/>
              </w:rPr>
            </w:pPr>
            <w:r>
              <w:rPr>
                <w:rFonts w:hint="eastAsia" w:ascii="Arial" w:hAnsi="Arial" w:eastAsia="宋体" w:cs="宋体"/>
                <w:b/>
                <w:kern w:val="0"/>
                <w:sz w:val="20"/>
                <w:szCs w:val="21"/>
                <w:lang w:bidi="ar"/>
              </w:rPr>
              <w:t>比例（</w:t>
            </w:r>
            <w:r>
              <w:rPr>
                <w:rFonts w:ascii="Arial" w:hAnsi="Arial" w:eastAsia="宋体" w:cs="Times New Roman"/>
                <w:b/>
                <w:kern w:val="0"/>
                <w:sz w:val="20"/>
                <w:szCs w:val="21"/>
                <w:lang w:bidi="ar"/>
              </w:rPr>
              <w:t>%</w:t>
            </w:r>
            <w:r>
              <w:rPr>
                <w:rStyle w:val="58"/>
                <w:rFonts w:hint="default" w:ascii="Arial" w:hAnsi="Arial"/>
                <w:color w:val="auto"/>
                <w:sz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Borders>
              <w:top w:val="single" w:color="FFFFFF" w:sz="8" w:space="0"/>
              <w:left w:val="single" w:color="4BACC6" w:sz="8" w:space="0"/>
              <w:bottom w:val="single" w:color="4BACC6" w:sz="8" w:space="0"/>
              <w:right w:val="single" w:color="4BACC6" w:sz="8" w:space="0"/>
            </w:tcBorders>
            <w:shd w:val="clear" w:color="auto" w:fill="B7DDE8"/>
            <w:vAlign w:val="center"/>
          </w:tcPr>
          <w:p>
            <w:pPr>
              <w:widowControl/>
              <w:textAlignment w:val="top"/>
              <w:rPr>
                <w:rFonts w:ascii="Arial" w:hAnsi="Arial" w:eastAsia="宋体" w:cs="宋体"/>
                <w:kern w:val="0"/>
                <w:sz w:val="20"/>
                <w:szCs w:val="21"/>
                <w:lang w:bidi="ar"/>
              </w:rPr>
            </w:pPr>
            <w:r>
              <w:rPr>
                <w:rFonts w:hint="eastAsia" w:ascii="Arial" w:hAnsi="Arial" w:eastAsia="宋体" w:cs="宋体"/>
                <w:kern w:val="0"/>
                <w:sz w:val="20"/>
                <w:szCs w:val="21"/>
                <w:lang w:bidi="ar"/>
              </w:rPr>
              <w:t>学校组织的招聘会</w:t>
            </w:r>
          </w:p>
        </w:tc>
        <w:tc>
          <w:tcPr>
            <w:tcW w:w="1417" w:type="dxa"/>
            <w:tcBorders>
              <w:top w:val="single" w:color="FFFFFF" w:sz="8" w:space="0"/>
              <w:left w:val="single" w:color="4BACC6" w:sz="8" w:space="0"/>
              <w:bottom w:val="single" w:color="4BACC6" w:sz="8" w:space="0"/>
              <w:right w:val="single" w:color="4BACC6" w:sz="8" w:space="0"/>
            </w:tcBorders>
            <w:shd w:val="clear" w:color="auto" w:fill="B7DDE8"/>
            <w:vAlign w:val="center"/>
          </w:tcPr>
          <w:p>
            <w:pPr>
              <w:widowControl/>
              <w:jc w:val="center"/>
              <w:textAlignment w:val="top"/>
              <w:rPr>
                <w:rFonts w:ascii="Arial" w:hAnsi="Arial" w:eastAsia="宋体" w:cs="Times New Roman"/>
                <w:kern w:val="0"/>
                <w:sz w:val="20"/>
                <w:szCs w:val="21"/>
                <w:lang w:bidi="ar"/>
              </w:rPr>
            </w:pPr>
            <w:r>
              <w:rPr>
                <w:rFonts w:ascii="Arial" w:hAnsi="Arial" w:eastAsia="宋体" w:cs="Times New Roman"/>
                <w:kern w:val="0"/>
                <w:sz w:val="20"/>
                <w:szCs w:val="21"/>
                <w:lang w:bidi="ar"/>
              </w:rPr>
              <w:t>650</w:t>
            </w:r>
          </w:p>
        </w:tc>
        <w:tc>
          <w:tcPr>
            <w:tcW w:w="1417" w:type="dxa"/>
            <w:tcBorders>
              <w:top w:val="single" w:color="FFFFFF" w:sz="8" w:space="0"/>
              <w:left w:val="single" w:color="4BACC6" w:sz="8" w:space="0"/>
              <w:bottom w:val="single" w:color="4BACC6" w:sz="8" w:space="0"/>
              <w:right w:val="single" w:color="4BACC6" w:sz="8" w:space="0"/>
            </w:tcBorders>
            <w:shd w:val="clear" w:color="auto" w:fill="B7DDE8"/>
            <w:vAlign w:val="center"/>
          </w:tcPr>
          <w:p>
            <w:pPr>
              <w:widowControl/>
              <w:jc w:val="center"/>
              <w:textAlignment w:val="top"/>
              <w:rPr>
                <w:rFonts w:ascii="Arial" w:hAnsi="Arial" w:eastAsia="宋体" w:cs="Times New Roman"/>
                <w:kern w:val="0"/>
                <w:sz w:val="20"/>
                <w:szCs w:val="21"/>
                <w:lang w:bidi="ar"/>
              </w:rPr>
            </w:pPr>
            <w:r>
              <w:rPr>
                <w:rFonts w:ascii="Arial" w:hAnsi="Arial" w:eastAsia="宋体" w:cs="Times New Roman"/>
                <w:kern w:val="0"/>
                <w:sz w:val="20"/>
                <w:szCs w:val="21"/>
                <w:lang w:bidi="ar"/>
              </w:rPr>
              <w:t>49.35%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textAlignment w:val="top"/>
              <w:rPr>
                <w:rFonts w:ascii="Arial" w:hAnsi="Arial" w:eastAsia="宋体"/>
                <w:sz w:val="20"/>
              </w:rPr>
            </w:pPr>
            <w:r>
              <w:rPr>
                <w:rFonts w:hint="eastAsia" w:ascii="Arial" w:hAnsi="Arial" w:eastAsia="宋体" w:cs="宋体"/>
                <w:kern w:val="0"/>
                <w:sz w:val="20"/>
                <w:szCs w:val="21"/>
                <w:lang w:bidi="ar"/>
              </w:rPr>
              <w:t>学校发布的招聘信息</w:t>
            </w:r>
          </w:p>
        </w:tc>
        <w:tc>
          <w:tcPr>
            <w:tcW w:w="1417"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459</w:t>
            </w:r>
          </w:p>
        </w:tc>
        <w:tc>
          <w:tcPr>
            <w:tcW w:w="1417"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34.85%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textAlignment w:val="top"/>
              <w:rPr>
                <w:rFonts w:ascii="Arial" w:hAnsi="Arial" w:eastAsia="宋体"/>
                <w:sz w:val="20"/>
              </w:rPr>
            </w:pPr>
            <w:r>
              <w:rPr>
                <w:rFonts w:hint="eastAsia" w:ascii="Arial" w:hAnsi="Arial" w:eastAsia="宋体" w:cs="宋体"/>
                <w:kern w:val="0"/>
                <w:sz w:val="20"/>
                <w:szCs w:val="21"/>
                <w:lang w:bidi="ar"/>
              </w:rPr>
              <w:t>院系发布的招聘信息</w:t>
            </w:r>
          </w:p>
        </w:tc>
        <w:tc>
          <w:tcPr>
            <w:tcW w:w="1417"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441</w:t>
            </w:r>
          </w:p>
        </w:tc>
        <w:tc>
          <w:tcPr>
            <w:tcW w:w="1417"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33.49%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textAlignment w:val="top"/>
              <w:rPr>
                <w:rFonts w:ascii="Arial" w:hAnsi="Arial" w:eastAsia="宋体"/>
                <w:sz w:val="20"/>
              </w:rPr>
            </w:pPr>
            <w:r>
              <w:rPr>
                <w:rFonts w:hint="eastAsia" w:ascii="Arial" w:hAnsi="Arial" w:eastAsia="宋体" w:cs="宋体"/>
                <w:kern w:val="0"/>
                <w:sz w:val="20"/>
                <w:szCs w:val="21"/>
                <w:lang w:bidi="ar"/>
              </w:rPr>
              <w:t>老师推荐</w:t>
            </w:r>
          </w:p>
        </w:tc>
        <w:tc>
          <w:tcPr>
            <w:tcW w:w="1417"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289</w:t>
            </w:r>
          </w:p>
        </w:tc>
        <w:tc>
          <w:tcPr>
            <w:tcW w:w="1417"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21.94%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textAlignment w:val="top"/>
              <w:rPr>
                <w:rFonts w:ascii="Arial" w:hAnsi="Arial" w:eastAsia="宋体"/>
                <w:sz w:val="20"/>
              </w:rPr>
            </w:pPr>
            <w:r>
              <w:rPr>
                <w:rFonts w:hint="eastAsia" w:ascii="Arial" w:hAnsi="Arial" w:eastAsia="宋体" w:cs="宋体"/>
                <w:kern w:val="0"/>
                <w:sz w:val="20"/>
                <w:szCs w:val="21"/>
                <w:lang w:bidi="ar"/>
              </w:rPr>
              <w:t>校友资源</w:t>
            </w:r>
          </w:p>
        </w:tc>
        <w:tc>
          <w:tcPr>
            <w:tcW w:w="1417"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197</w:t>
            </w:r>
          </w:p>
        </w:tc>
        <w:tc>
          <w:tcPr>
            <w:tcW w:w="1417"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textAlignment w:val="top"/>
              <w:rPr>
                <w:rFonts w:ascii="Arial" w:hAnsi="Arial" w:eastAsia="宋体"/>
                <w:sz w:val="20"/>
              </w:rPr>
            </w:pPr>
            <w:r>
              <w:rPr>
                <w:rFonts w:hint="eastAsia" w:ascii="Arial" w:hAnsi="Arial" w:eastAsia="宋体" w:cs="宋体"/>
                <w:kern w:val="0"/>
                <w:sz w:val="20"/>
                <w:szCs w:val="21"/>
                <w:lang w:bidi="ar"/>
              </w:rPr>
              <w:t>其他校园渠道</w:t>
            </w:r>
          </w:p>
        </w:tc>
        <w:tc>
          <w:tcPr>
            <w:tcW w:w="1417"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137</w:t>
            </w:r>
          </w:p>
        </w:tc>
        <w:tc>
          <w:tcPr>
            <w:tcW w:w="1417"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textAlignment w:val="top"/>
              <w:rPr>
                <w:rFonts w:ascii="Arial" w:hAnsi="Arial" w:eastAsia="宋体"/>
                <w:sz w:val="20"/>
              </w:rPr>
            </w:pPr>
            <w:r>
              <w:rPr>
                <w:rFonts w:hint="eastAsia" w:ascii="Arial" w:hAnsi="Arial" w:eastAsia="宋体" w:cs="宋体"/>
                <w:kern w:val="0"/>
                <w:sz w:val="20"/>
                <w:szCs w:val="21"/>
                <w:lang w:bidi="ar"/>
              </w:rPr>
              <w:t>政府渠道</w:t>
            </w:r>
          </w:p>
        </w:tc>
        <w:tc>
          <w:tcPr>
            <w:tcW w:w="1417"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169</w:t>
            </w:r>
          </w:p>
        </w:tc>
        <w:tc>
          <w:tcPr>
            <w:tcW w:w="1417"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textAlignment w:val="top"/>
              <w:rPr>
                <w:rFonts w:ascii="Arial" w:hAnsi="Arial" w:eastAsia="宋体"/>
                <w:sz w:val="20"/>
              </w:rPr>
            </w:pPr>
            <w:r>
              <w:rPr>
                <w:rFonts w:hint="eastAsia" w:ascii="Arial" w:hAnsi="Arial" w:eastAsia="宋体" w:cs="宋体"/>
                <w:kern w:val="0"/>
                <w:sz w:val="20"/>
                <w:szCs w:val="21"/>
                <w:lang w:bidi="ar"/>
              </w:rPr>
              <w:t>社会渠道</w:t>
            </w:r>
          </w:p>
        </w:tc>
        <w:tc>
          <w:tcPr>
            <w:tcW w:w="1417"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957</w:t>
            </w:r>
          </w:p>
        </w:tc>
        <w:tc>
          <w:tcPr>
            <w:tcW w:w="1417"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textAlignment w:val="top"/>
              <w:rPr>
                <w:rFonts w:ascii="Arial" w:hAnsi="Arial" w:eastAsia="宋体"/>
                <w:sz w:val="20"/>
              </w:rPr>
            </w:pPr>
            <w:r>
              <w:rPr>
                <w:rFonts w:hint="eastAsia" w:ascii="Arial" w:hAnsi="Arial" w:eastAsia="宋体" w:cs="宋体"/>
                <w:kern w:val="0"/>
                <w:sz w:val="20"/>
                <w:szCs w:val="21"/>
                <w:lang w:bidi="ar"/>
              </w:rPr>
              <w:t>用人单位自设渠道</w:t>
            </w:r>
          </w:p>
        </w:tc>
        <w:tc>
          <w:tcPr>
            <w:tcW w:w="1417"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248</w:t>
            </w:r>
          </w:p>
        </w:tc>
        <w:tc>
          <w:tcPr>
            <w:tcW w:w="1417"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textAlignment w:val="top"/>
              <w:rPr>
                <w:rFonts w:ascii="Arial" w:hAnsi="Arial" w:eastAsia="宋体"/>
                <w:sz w:val="20"/>
              </w:rPr>
            </w:pPr>
            <w:r>
              <w:rPr>
                <w:rFonts w:hint="eastAsia" w:ascii="Arial" w:hAnsi="Arial" w:eastAsia="宋体" w:cs="宋体"/>
                <w:kern w:val="0"/>
                <w:sz w:val="20"/>
                <w:szCs w:val="21"/>
                <w:lang w:bidi="ar"/>
              </w:rPr>
              <w:t>亲友渠道</w:t>
            </w:r>
          </w:p>
        </w:tc>
        <w:tc>
          <w:tcPr>
            <w:tcW w:w="1417"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162</w:t>
            </w:r>
          </w:p>
        </w:tc>
        <w:tc>
          <w:tcPr>
            <w:tcW w:w="1417"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top"/>
              <w:rPr>
                <w:rFonts w:ascii="Arial" w:hAnsi="Arial" w:eastAsia="宋体"/>
                <w:sz w:val="20"/>
              </w:rPr>
            </w:pPr>
            <w:r>
              <w:rPr>
                <w:rFonts w:ascii="Arial" w:hAnsi="Arial" w:eastAsia="宋体" w:cs="Times New Roman"/>
                <w:kern w:val="0"/>
                <w:sz w:val="20"/>
                <w:szCs w:val="21"/>
                <w:lang w:bidi="ar"/>
              </w:rPr>
              <w:t>12.30%</w:t>
            </w:r>
          </w:p>
        </w:tc>
      </w:tr>
    </w:tbl>
    <w:p>
      <w:pPr>
        <w:pStyle w:val="33"/>
        <w:spacing w:before="180" w:after="180" w:afterLines="0" w:line="360" w:lineRule="auto"/>
        <w:ind w:firstLine="482" w:firstLineChars="200"/>
        <w:outlineLvl w:val="2"/>
        <w:rPr>
          <w:rFonts w:ascii="Times New Roman" w:hAnsi="Times New Roman" w:eastAsia="宋体"/>
          <w:sz w:val="24"/>
          <w:szCs w:val="24"/>
        </w:rPr>
      </w:pPr>
      <w:bookmarkStart w:id="320" w:name="PO_382"/>
      <w:bookmarkEnd w:id="320"/>
      <w:bookmarkStart w:id="321" w:name="PO_383"/>
      <w:bookmarkEnd w:id="321"/>
      <w:bookmarkStart w:id="322" w:name="_Toc501407877"/>
      <w:bookmarkStart w:id="323" w:name="_Toc28652"/>
      <w:bookmarkStart w:id="324" w:name="_Toc491854146"/>
      <w:r>
        <w:rPr>
          <w:rFonts w:hint="eastAsia" w:ascii="Times New Roman" w:hAnsi="Times New Roman" w:eastAsia="宋体"/>
          <w:sz w:val="24"/>
          <w:szCs w:val="24"/>
        </w:rPr>
        <w:t>4．抽样调查的2017届毕业生求职价值观</w:t>
      </w:r>
      <w:bookmarkEnd w:id="322"/>
      <w:bookmarkEnd w:id="323"/>
      <w:bookmarkEnd w:id="324"/>
    </w:p>
    <w:p>
      <w:pPr>
        <w:autoSpaceDE w:val="0"/>
        <w:spacing w:line="360" w:lineRule="auto"/>
        <w:ind w:firstLine="480" w:firstLineChars="200"/>
        <w:rPr>
          <w:rFonts w:ascii="Times New Roman" w:hAnsi="Times New Roman" w:eastAsia="宋体" w:cs="Times New Roman"/>
          <w:sz w:val="24"/>
          <w:szCs w:val="24"/>
        </w:rPr>
      </w:pPr>
      <w:bookmarkStart w:id="325" w:name="PO_391"/>
      <w:bookmarkEnd w:id="325"/>
      <w:r>
        <w:rPr>
          <w:rFonts w:hint="eastAsia" w:ascii="Times New Roman" w:hAnsi="Times New Roman" w:eastAsia="宋体" w:cs="Times New Roman"/>
          <w:sz w:val="24"/>
          <w:szCs w:val="24"/>
        </w:rPr>
        <w:t>就毕业生求职价值观而言，毕业生在选择工作时，最重要的五个因素分别是：磨练个人能力、发挥自己的创造性、施展个人的能力和特长、实现个人的抱负和目标、和家庭生活不相冲突。</w:t>
      </w:r>
    </w:p>
    <w:p>
      <w:pPr>
        <w:jc w:val="center"/>
      </w:pPr>
      <w:bookmarkStart w:id="326" w:name="PO_392"/>
      <w:bookmarkEnd w:id="326"/>
      <w:r>
        <w:rPr>
          <w:rFonts w:hint="eastAsia"/>
        </w:rPr>
        <w:drawing>
          <wp:inline distT="0" distB="0" distL="0" distR="0">
            <wp:extent cx="4636770" cy="3168650"/>
            <wp:effectExtent l="4445" t="4445" r="6985" b="8255"/>
            <wp:docPr id="4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bookmarkStart w:id="327" w:name="PO_393"/>
      <w:bookmarkEnd w:id="327"/>
      <w:r>
        <w:rPr>
          <w:rFonts w:hint="eastAsia" w:ascii="Times New Roman" w:hAnsi="Times New Roman" w:eastAsia="宋体" w:cs="Times New Roman"/>
          <w:snapToGrid w:val="0"/>
          <w:sz w:val="24"/>
          <w:szCs w:val="24"/>
        </w:rPr>
        <w:t>图4-7 抽样调查的2017届毕业生求职价值观</w:t>
      </w:r>
    </w:p>
    <w:p>
      <w:pPr>
        <w:pStyle w:val="3"/>
        <w:autoSpaceDE w:val="0"/>
        <w:spacing w:line="312" w:lineRule="auto"/>
        <w:rPr>
          <w:rFonts w:ascii="Times New Roman" w:hAnsi="Times New Roman" w:eastAsia="黑体" w:cs="Times New Roman"/>
        </w:rPr>
      </w:pPr>
      <w:bookmarkStart w:id="328" w:name="_Toc501407878"/>
      <w:bookmarkStart w:id="329" w:name="_Toc491854148"/>
      <w:bookmarkStart w:id="330" w:name="_Toc11725"/>
      <w:bookmarkStart w:id="331" w:name="_Toc428959600"/>
      <w:r>
        <w:rPr>
          <w:rFonts w:hint="eastAsia" w:ascii="Times New Roman" w:hAnsi="Times New Roman" w:eastAsia="黑体" w:cs="Times New Roman"/>
        </w:rPr>
        <w:t>二、抽样调查的2017届毕业生就业落实情况</w:t>
      </w:r>
      <w:bookmarkEnd w:id="328"/>
    </w:p>
    <w:p>
      <w:pPr>
        <w:pStyle w:val="4"/>
        <w:autoSpaceDE w:val="0"/>
        <w:spacing w:beforeLines="0" w:afterLines="0" w:line="312" w:lineRule="auto"/>
        <w:ind w:firstLine="0" w:firstLineChars="0"/>
        <w:jc w:val="both"/>
        <w:rPr>
          <w:rFonts w:eastAsia="黑体"/>
          <w:bCs w:val="0"/>
          <w:snapToGrid/>
          <w:sz w:val="28"/>
          <w:szCs w:val="28"/>
        </w:rPr>
      </w:pPr>
      <w:bookmarkStart w:id="332" w:name="_Toc501407879"/>
      <w:r>
        <w:rPr>
          <w:rFonts w:hint="eastAsia" w:eastAsia="黑体"/>
          <w:bCs w:val="0"/>
          <w:snapToGrid/>
          <w:sz w:val="28"/>
          <w:szCs w:val="28"/>
        </w:rPr>
        <w:t>（一）抽样调查的2017届毕业生就业落实的相关情况</w:t>
      </w:r>
      <w:bookmarkEnd w:id="332"/>
    </w:p>
    <w:p>
      <w:pPr>
        <w:pStyle w:val="33"/>
        <w:spacing w:before="180" w:after="180" w:afterLines="0" w:line="360" w:lineRule="auto"/>
        <w:ind w:firstLine="482" w:firstLineChars="200"/>
        <w:outlineLvl w:val="2"/>
        <w:rPr>
          <w:rFonts w:ascii="Times New Roman" w:hAnsi="Times New Roman" w:eastAsia="宋体"/>
          <w:sz w:val="24"/>
          <w:szCs w:val="24"/>
        </w:rPr>
      </w:pPr>
      <w:bookmarkStart w:id="333" w:name="_Toc501407880"/>
      <w:r>
        <w:rPr>
          <w:rFonts w:hint="eastAsia" w:ascii="Times New Roman" w:hAnsi="Times New Roman" w:eastAsia="宋体"/>
          <w:sz w:val="24"/>
          <w:szCs w:val="24"/>
        </w:rPr>
        <w:t>1．抽样调查的2017届毕业生已落实的就业单位地点</w:t>
      </w:r>
      <w:bookmarkEnd w:id="329"/>
      <w:bookmarkEnd w:id="330"/>
      <w:bookmarkEnd w:id="331"/>
      <w:bookmarkEnd w:id="333"/>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抽样调查的1317名毕业生中，有1238名毕业生已经落实就业单位，就毕业生最终落实的就业所在地而言，</w:t>
      </w:r>
      <w:bookmarkStart w:id="334" w:name="PO_4111"/>
      <w:bookmarkEnd w:id="334"/>
      <w:r>
        <w:rPr>
          <w:rFonts w:hint="eastAsia" w:ascii="Times New Roman" w:hAnsi="Times New Roman" w:eastAsia="宋体" w:cs="Times New Roman"/>
          <w:sz w:val="24"/>
          <w:szCs w:val="24"/>
        </w:rPr>
        <w:t>51.25%的毕业生落实在省内就业，40.06%落实在东部地区就业，5.49%落实在中部地区就业，3.23%落实在西部地区就业。</w:t>
      </w:r>
    </w:p>
    <w:p>
      <w:pPr>
        <w:jc w:val="center"/>
      </w:pPr>
      <w:bookmarkStart w:id="335" w:name="PO_4112"/>
      <w:bookmarkEnd w:id="335"/>
      <w:r>
        <w:drawing>
          <wp:inline distT="0" distB="0" distL="114300" distR="114300">
            <wp:extent cx="4380230" cy="2042795"/>
            <wp:effectExtent l="4445" t="4445" r="15875" b="10160"/>
            <wp:docPr id="14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图4-8 抽样调查的2017届毕业生最终落实就业地区</w:t>
      </w:r>
    </w:p>
    <w:p>
      <w:pPr>
        <w:autoSpaceDE w:val="0"/>
        <w:spacing w:line="360" w:lineRule="auto"/>
        <w:ind w:firstLine="480" w:firstLineChars="200"/>
        <w:rPr>
          <w:rFonts w:ascii="Times New Roman" w:hAnsi="Times New Roman" w:eastAsia="宋体" w:cs="Times New Roman"/>
          <w:sz w:val="24"/>
          <w:szCs w:val="24"/>
        </w:rPr>
      </w:pPr>
      <w:bookmarkStart w:id="336" w:name="PO_4121"/>
      <w:bookmarkEnd w:id="336"/>
      <w:r>
        <w:rPr>
          <w:rFonts w:hint="eastAsia" w:ascii="Times New Roman" w:hAnsi="Times New Roman" w:eastAsia="宋体" w:cs="Times New Roman"/>
          <w:sz w:val="24"/>
          <w:szCs w:val="24"/>
        </w:rPr>
        <w:t>从毕业生最终落实就业地情况看，82.96%的毕业生落实就业地为城市，15.02%为城郊或乡镇，2.02%为农村。</w:t>
      </w:r>
    </w:p>
    <w:p>
      <w:pPr>
        <w:autoSpaceDE w:val="0"/>
        <w:spacing w:line="360" w:lineRule="auto"/>
        <w:ind w:firstLine="420" w:firstLineChars="200"/>
        <w:rPr>
          <w:rFonts w:ascii="Times New Roman" w:hAnsi="Times New Roman" w:eastAsia="宋体" w:cs="Times New Roman"/>
          <w:sz w:val="24"/>
          <w:szCs w:val="24"/>
        </w:rPr>
      </w:pPr>
      <w:r>
        <w:drawing>
          <wp:inline distT="0" distB="0" distL="114300" distR="114300">
            <wp:extent cx="4217035" cy="2042160"/>
            <wp:effectExtent l="4445" t="4445" r="7620" b="10795"/>
            <wp:docPr id="14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图4-9 抽样调查的2017届毕业生最终落实就业地的情况</w:t>
      </w:r>
    </w:p>
    <w:p>
      <w:pPr>
        <w:pStyle w:val="33"/>
        <w:spacing w:before="180" w:after="180" w:afterLines="0" w:line="360" w:lineRule="auto"/>
        <w:ind w:firstLine="482" w:firstLineChars="200"/>
        <w:outlineLvl w:val="2"/>
        <w:rPr>
          <w:rFonts w:ascii="Times New Roman" w:hAnsi="Times New Roman" w:eastAsia="宋体"/>
          <w:sz w:val="24"/>
          <w:szCs w:val="24"/>
        </w:rPr>
      </w:pPr>
      <w:bookmarkStart w:id="337" w:name="_Toc491854149"/>
      <w:bookmarkStart w:id="338" w:name="_Toc428959603"/>
      <w:bookmarkStart w:id="339" w:name="_Toc501407881"/>
      <w:bookmarkStart w:id="340" w:name="_Toc27055"/>
      <w:r>
        <w:rPr>
          <w:rFonts w:hint="eastAsia" w:ascii="Times New Roman" w:hAnsi="Times New Roman" w:eastAsia="宋体"/>
          <w:sz w:val="24"/>
          <w:szCs w:val="24"/>
        </w:rPr>
        <w:t>2．抽样调查的2017届毕业生已落实的就业单位行业</w:t>
      </w:r>
      <w:bookmarkEnd w:id="337"/>
      <w:bookmarkEnd w:id="338"/>
      <w:bookmarkEnd w:id="339"/>
      <w:bookmarkEnd w:id="340"/>
    </w:p>
    <w:p>
      <w:pPr>
        <w:autoSpaceDE w:val="0"/>
        <w:spacing w:line="360" w:lineRule="auto"/>
        <w:ind w:firstLine="480" w:firstLineChars="200"/>
        <w:rPr>
          <w:rFonts w:ascii="Times New Roman" w:hAnsi="Times New Roman" w:eastAsia="宋体" w:cs="Times New Roman"/>
          <w:sz w:val="24"/>
          <w:szCs w:val="24"/>
        </w:rPr>
      </w:pPr>
      <w:bookmarkStart w:id="341" w:name="PO_421"/>
      <w:bookmarkEnd w:id="341"/>
      <w:r>
        <w:rPr>
          <w:rFonts w:hint="eastAsia" w:ascii="Times New Roman" w:hAnsi="Times New Roman" w:eastAsia="宋体" w:cs="Times New Roman"/>
          <w:sz w:val="24"/>
          <w:szCs w:val="24"/>
        </w:rPr>
        <w:t>就毕业生最终落实的就业行业来看，排名前三的行业是：文化、体育和娱乐业（440份），教育（311份），其他（147份），共占到有效样本总数的72.53%。</w:t>
      </w:r>
    </w:p>
    <w:p>
      <w:pPr>
        <w:autoSpaceDE w:val="0"/>
        <w:spacing w:line="360" w:lineRule="auto"/>
        <w:ind w:firstLine="420" w:firstLineChars="200"/>
        <w:jc w:val="center"/>
        <w:rPr>
          <w:rFonts w:ascii="Times New Roman" w:hAnsi="Times New Roman" w:eastAsia="宋体" w:cs="Times New Roman"/>
          <w:sz w:val="24"/>
          <w:szCs w:val="24"/>
        </w:rPr>
      </w:pPr>
      <w:r>
        <w:drawing>
          <wp:inline distT="0" distB="0" distL="114300" distR="114300">
            <wp:extent cx="4006850" cy="4147185"/>
            <wp:effectExtent l="0" t="0" r="12700" b="5715"/>
            <wp:docPr id="3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
                    <pic:cNvPicPr>
                      <a:picLocks noChangeAspect="1"/>
                    </pic:cNvPicPr>
                  </pic:nvPicPr>
                  <pic:blipFill>
                    <a:blip r:embed="rId49"/>
                    <a:stretch>
                      <a:fillRect/>
                    </a:stretch>
                  </pic:blipFill>
                  <pic:spPr>
                    <a:xfrm>
                      <a:off x="0" y="0"/>
                      <a:ext cx="4006850" cy="4147185"/>
                    </a:xfrm>
                    <a:prstGeom prst="rect">
                      <a:avLst/>
                    </a:prstGeom>
                    <a:noFill/>
                    <a:ln w="9525">
                      <a:noFill/>
                    </a:ln>
                  </pic:spPr>
                </pic:pic>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图4-10 抽样调查的2017届毕业生最终落实就业行业</w:t>
      </w:r>
    </w:p>
    <w:p>
      <w:pPr>
        <w:pStyle w:val="33"/>
        <w:spacing w:before="180" w:after="180" w:afterLines="0" w:line="360" w:lineRule="auto"/>
        <w:ind w:firstLine="482" w:firstLineChars="200"/>
        <w:outlineLvl w:val="2"/>
        <w:rPr>
          <w:rFonts w:ascii="Times New Roman" w:hAnsi="Times New Roman" w:eastAsia="宋体"/>
          <w:sz w:val="24"/>
          <w:szCs w:val="24"/>
        </w:rPr>
      </w:pPr>
      <w:bookmarkStart w:id="342" w:name="PO_422"/>
      <w:bookmarkEnd w:id="342"/>
      <w:bookmarkStart w:id="343" w:name="_Toc428959605"/>
      <w:bookmarkStart w:id="344" w:name="_Toc491854150"/>
      <w:bookmarkStart w:id="345" w:name="_Toc3244"/>
      <w:bookmarkStart w:id="346" w:name="_Toc501407882"/>
      <w:r>
        <w:rPr>
          <w:rFonts w:hint="eastAsia" w:ascii="Times New Roman" w:hAnsi="Times New Roman" w:eastAsia="宋体"/>
          <w:sz w:val="24"/>
          <w:szCs w:val="24"/>
        </w:rPr>
        <w:t>3．抽样调查的2017届毕业生已落实的就业单位类型</w:t>
      </w:r>
      <w:bookmarkEnd w:id="343"/>
      <w:bookmarkEnd w:id="344"/>
      <w:bookmarkEnd w:id="345"/>
      <w:bookmarkEnd w:id="346"/>
    </w:p>
    <w:p>
      <w:pPr>
        <w:autoSpaceDE w:val="0"/>
        <w:spacing w:line="360" w:lineRule="auto"/>
        <w:ind w:firstLine="480" w:firstLineChars="200"/>
        <w:rPr>
          <w:rFonts w:ascii="Times New Roman" w:hAnsi="Times New Roman" w:eastAsia="宋体" w:cs="Times New Roman"/>
          <w:sz w:val="24"/>
          <w:szCs w:val="24"/>
        </w:rPr>
      </w:pPr>
      <w:bookmarkStart w:id="347" w:name="PO_431"/>
      <w:bookmarkEnd w:id="347"/>
      <w:r>
        <w:rPr>
          <w:rFonts w:hint="eastAsia" w:ascii="Times New Roman" w:hAnsi="Times New Roman" w:eastAsia="宋体" w:cs="Times New Roman"/>
          <w:sz w:val="24"/>
          <w:szCs w:val="24"/>
        </w:rPr>
        <w:t>就毕业生最终落实的就业单位类型来看，排在前三的首选单位类型是：其他企业（543份）、中初教育单位（157份）、其他事业单位（152份），共占到有效样本总数的68.82%。</w:t>
      </w:r>
    </w:p>
    <w:p>
      <w:pPr>
        <w:autoSpaceDE w:val="0"/>
        <w:spacing w:line="360" w:lineRule="auto"/>
        <w:ind w:firstLine="420" w:firstLineChars="200"/>
        <w:jc w:val="center"/>
        <w:rPr>
          <w:rFonts w:ascii="Times New Roman" w:hAnsi="Times New Roman" w:eastAsia="宋体" w:cs="Times New Roman"/>
          <w:sz w:val="24"/>
          <w:szCs w:val="24"/>
        </w:rPr>
      </w:pPr>
      <w:r>
        <w:drawing>
          <wp:inline distT="0" distB="0" distL="114300" distR="114300">
            <wp:extent cx="4902200" cy="2823845"/>
            <wp:effectExtent l="4445" t="4445" r="8255" b="1016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图4-11 抽样调查的2017届毕业生最终落实就业单位类型</w:t>
      </w:r>
    </w:p>
    <w:p>
      <w:pPr>
        <w:pStyle w:val="33"/>
        <w:spacing w:before="180" w:after="180" w:afterLines="0" w:line="360" w:lineRule="auto"/>
        <w:ind w:firstLine="482" w:firstLineChars="200"/>
        <w:outlineLvl w:val="2"/>
        <w:rPr>
          <w:rFonts w:ascii="Times New Roman" w:hAnsi="Times New Roman" w:eastAsia="宋体"/>
          <w:sz w:val="24"/>
          <w:szCs w:val="24"/>
        </w:rPr>
      </w:pPr>
      <w:bookmarkStart w:id="348" w:name="_Toc501407883"/>
      <w:bookmarkStart w:id="349" w:name="_Toc14905"/>
      <w:bookmarkStart w:id="350" w:name="_Toc491854151"/>
      <w:bookmarkStart w:id="351" w:name="_Toc428959606"/>
      <w:r>
        <w:rPr>
          <w:rFonts w:hint="eastAsia" w:ascii="Times New Roman" w:hAnsi="Times New Roman" w:eastAsia="宋体"/>
          <w:sz w:val="24"/>
          <w:szCs w:val="24"/>
        </w:rPr>
        <w:t>4．抽样调查的2017届毕业生落实工作所用时间及录用邀请数</w:t>
      </w:r>
      <w:bookmarkEnd w:id="348"/>
      <w:bookmarkEnd w:id="349"/>
      <w:bookmarkEnd w:id="350"/>
      <w:bookmarkEnd w:id="351"/>
    </w:p>
    <w:p>
      <w:pPr>
        <w:autoSpaceDE w:val="0"/>
        <w:spacing w:line="360" w:lineRule="auto"/>
        <w:ind w:firstLine="480" w:firstLineChars="200"/>
        <w:rPr>
          <w:rFonts w:ascii="Times New Roman" w:hAnsi="Times New Roman" w:eastAsia="宋体" w:cs="Times New Roman"/>
          <w:sz w:val="24"/>
          <w:szCs w:val="24"/>
        </w:rPr>
      </w:pPr>
      <w:bookmarkStart w:id="352" w:name="PO_4411"/>
      <w:bookmarkEnd w:id="352"/>
      <w:r>
        <w:rPr>
          <w:rFonts w:hint="eastAsia" w:ascii="Times New Roman" w:hAnsi="Times New Roman" w:eastAsia="宋体" w:cs="Times New Roman"/>
          <w:sz w:val="24"/>
          <w:szCs w:val="24"/>
        </w:rPr>
        <w:t>调查显示，毕业生从开始求职到最终落实工作所用时间平均为2.31个月，毕业生从开始求职到最终落实工作所收到的录用通知平均为4.17个，毕业生拿到第一个录用通知的时间平均为毕业前4.57个月。</w:t>
      </w:r>
    </w:p>
    <w:p>
      <w:pPr>
        <w:pStyle w:val="4"/>
        <w:autoSpaceDE w:val="0"/>
        <w:spacing w:beforeLines="0" w:afterLines="0" w:line="312" w:lineRule="auto"/>
        <w:ind w:firstLine="0" w:firstLineChars="0"/>
        <w:jc w:val="both"/>
        <w:rPr>
          <w:rFonts w:eastAsia="黑体"/>
          <w:bCs w:val="0"/>
          <w:snapToGrid/>
          <w:sz w:val="28"/>
          <w:szCs w:val="28"/>
        </w:rPr>
      </w:pPr>
      <w:bookmarkStart w:id="353" w:name="_Toc501407884"/>
      <w:r>
        <w:rPr>
          <w:rFonts w:hint="eastAsia" w:eastAsia="黑体"/>
          <w:bCs w:val="0"/>
          <w:snapToGrid/>
          <w:sz w:val="28"/>
          <w:szCs w:val="28"/>
        </w:rPr>
        <w:t>（二）抽样调查的2017届毕业生就业与专业相关程度</w:t>
      </w:r>
      <w:bookmarkEnd w:id="353"/>
    </w:p>
    <w:p>
      <w:pPr>
        <w:pStyle w:val="33"/>
        <w:spacing w:before="180" w:after="180" w:afterLines="0" w:line="360" w:lineRule="auto"/>
        <w:ind w:firstLine="482" w:firstLineChars="200"/>
        <w:outlineLvl w:val="2"/>
        <w:rPr>
          <w:rFonts w:ascii="Times New Roman" w:hAnsi="Times New Roman" w:eastAsia="宋体"/>
          <w:sz w:val="24"/>
          <w:szCs w:val="24"/>
        </w:rPr>
      </w:pPr>
      <w:bookmarkStart w:id="354" w:name="_Toc428959609"/>
      <w:bookmarkStart w:id="355" w:name="_Toc491854155"/>
      <w:bookmarkStart w:id="356" w:name="_Toc24245"/>
      <w:bookmarkStart w:id="357" w:name="_Toc501407885"/>
      <w:r>
        <w:rPr>
          <w:rFonts w:hint="eastAsia" w:ascii="Times New Roman" w:hAnsi="Times New Roman" w:eastAsia="宋体"/>
          <w:sz w:val="24"/>
          <w:szCs w:val="24"/>
        </w:rPr>
        <w:t>1．抽样调查的2017届毕业生所</w:t>
      </w:r>
      <w:bookmarkEnd w:id="354"/>
      <w:r>
        <w:rPr>
          <w:rFonts w:hint="eastAsia" w:ascii="Times New Roman" w:hAnsi="Times New Roman" w:eastAsia="宋体"/>
          <w:sz w:val="24"/>
          <w:szCs w:val="24"/>
        </w:rPr>
        <w:t>学专业与落实工作的相关程度</w:t>
      </w:r>
      <w:bookmarkEnd w:id="355"/>
      <w:bookmarkEnd w:id="356"/>
      <w:bookmarkEnd w:id="357"/>
    </w:p>
    <w:p>
      <w:pPr>
        <w:autoSpaceDE w:val="0"/>
        <w:spacing w:line="360" w:lineRule="auto"/>
        <w:ind w:firstLine="480" w:firstLineChars="200"/>
        <w:rPr>
          <w:rFonts w:ascii="Times New Roman" w:hAnsi="Times New Roman" w:eastAsia="宋体" w:cs="Times New Roman"/>
          <w:sz w:val="24"/>
          <w:szCs w:val="24"/>
        </w:rPr>
      </w:pPr>
      <w:bookmarkStart w:id="358" w:name="PO_451"/>
      <w:bookmarkEnd w:id="358"/>
      <w:r>
        <w:rPr>
          <w:rFonts w:hint="eastAsia" w:ascii="Times New Roman" w:hAnsi="Times New Roman" w:eastAsia="宋体" w:cs="Times New Roman"/>
          <w:sz w:val="24"/>
          <w:szCs w:val="24"/>
        </w:rPr>
        <w:t>从所学专业与落实工作的相关程度上看22.92%的毕业生认为所学专业与落实工作“很相关”，37.96%认为“相关”，认为“不好说”的有20.03%，15.11%认为“不相关”，3.96%认为“很不相关”。</w:t>
      </w:r>
    </w:p>
    <w:p>
      <w:pPr>
        <w:jc w:val="center"/>
      </w:pPr>
      <w:bookmarkStart w:id="359" w:name="PO_452"/>
      <w:bookmarkEnd w:id="359"/>
      <w:r>
        <w:drawing>
          <wp:inline distT="0" distB="0" distL="114300" distR="114300">
            <wp:extent cx="4446270" cy="1948180"/>
            <wp:effectExtent l="4445" t="4445" r="6985" b="9525"/>
            <wp:docPr id="14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图4-12 抽样调查的2017届毕业生所学专业与落实工作的相关程度</w:t>
      </w:r>
    </w:p>
    <w:p>
      <w:pPr>
        <w:pStyle w:val="33"/>
        <w:spacing w:before="180" w:after="180" w:afterLines="0" w:line="360" w:lineRule="auto"/>
        <w:ind w:firstLine="482" w:firstLineChars="200"/>
        <w:outlineLvl w:val="2"/>
        <w:rPr>
          <w:rFonts w:ascii="Times New Roman" w:hAnsi="Times New Roman" w:eastAsia="宋体"/>
          <w:sz w:val="24"/>
          <w:szCs w:val="24"/>
        </w:rPr>
      </w:pPr>
      <w:bookmarkStart w:id="360" w:name="_Toc428959610"/>
      <w:bookmarkStart w:id="361" w:name="_Toc501407886"/>
      <w:bookmarkStart w:id="362" w:name="_Toc22474"/>
      <w:bookmarkStart w:id="363" w:name="_Toc491854156"/>
      <w:r>
        <w:rPr>
          <w:rFonts w:hint="eastAsia" w:ascii="Times New Roman" w:hAnsi="Times New Roman" w:eastAsia="宋体"/>
          <w:sz w:val="24"/>
          <w:szCs w:val="24"/>
        </w:rPr>
        <w:t>2．</w:t>
      </w:r>
      <w:bookmarkEnd w:id="360"/>
      <w:r>
        <w:rPr>
          <w:rFonts w:hint="eastAsia" w:ascii="Times New Roman" w:hAnsi="Times New Roman" w:eastAsia="宋体"/>
          <w:sz w:val="24"/>
          <w:szCs w:val="24"/>
        </w:rPr>
        <w:t>抽样调查的2017届毕业生学历层次与落实岗位要求的匹配情况</w:t>
      </w:r>
      <w:bookmarkEnd w:id="361"/>
      <w:bookmarkEnd w:id="362"/>
      <w:bookmarkEnd w:id="363"/>
    </w:p>
    <w:p>
      <w:pPr>
        <w:autoSpaceDE w:val="0"/>
        <w:spacing w:line="360" w:lineRule="auto"/>
        <w:ind w:firstLine="480" w:firstLineChars="200"/>
        <w:rPr>
          <w:rFonts w:ascii="Times New Roman" w:hAnsi="Times New Roman" w:eastAsia="宋体" w:cs="Times New Roman"/>
          <w:sz w:val="24"/>
          <w:szCs w:val="24"/>
        </w:rPr>
      </w:pPr>
      <w:bookmarkStart w:id="364" w:name="PO_461"/>
      <w:bookmarkEnd w:id="364"/>
      <w:r>
        <w:rPr>
          <w:rFonts w:hint="eastAsia" w:ascii="Times New Roman" w:hAnsi="Times New Roman" w:eastAsia="宋体" w:cs="Times New Roman"/>
          <w:sz w:val="24"/>
          <w:szCs w:val="24"/>
        </w:rPr>
        <w:t>从学历与落实工作的匹配程度上看，10.10%的毕业生认为自己的学历层次低于岗位要求，62.92%认为自己的学历层次恰好满足岗位要求，26.98%认为自己的学历层次高于岗位要求。</w:t>
      </w:r>
    </w:p>
    <w:p>
      <w:pPr>
        <w:jc w:val="center"/>
      </w:pPr>
      <w:r>
        <w:drawing>
          <wp:inline distT="0" distB="0" distL="114300" distR="114300">
            <wp:extent cx="4208145" cy="2103755"/>
            <wp:effectExtent l="4445" t="4445" r="16510" b="6350"/>
            <wp:docPr id="15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图4-13 抽样调查的2017届毕业生学历层次与落实工作的匹配程度</w:t>
      </w:r>
    </w:p>
    <w:p>
      <w:pPr>
        <w:pStyle w:val="4"/>
        <w:autoSpaceDE w:val="0"/>
        <w:spacing w:beforeLines="0" w:afterLines="0" w:line="312" w:lineRule="auto"/>
        <w:ind w:firstLine="0" w:firstLineChars="0"/>
        <w:jc w:val="both"/>
        <w:rPr>
          <w:rFonts w:eastAsia="黑体"/>
          <w:bCs w:val="0"/>
          <w:snapToGrid/>
          <w:sz w:val="28"/>
          <w:szCs w:val="28"/>
        </w:rPr>
      </w:pPr>
      <w:bookmarkStart w:id="365" w:name="_Toc501407887"/>
      <w:bookmarkStart w:id="366" w:name="_Toc428959611"/>
      <w:bookmarkStart w:id="367" w:name="_Toc491854157"/>
      <w:bookmarkStart w:id="368" w:name="_Toc12067"/>
      <w:r>
        <w:rPr>
          <w:rFonts w:hint="eastAsia" w:eastAsia="黑体"/>
          <w:bCs w:val="0"/>
          <w:snapToGrid/>
          <w:sz w:val="28"/>
          <w:szCs w:val="28"/>
        </w:rPr>
        <w:t>（三）抽样调查的2017届毕业生就业落实后待遇和发展情况调查</w:t>
      </w:r>
      <w:bookmarkEnd w:id="365"/>
    </w:p>
    <w:p>
      <w:pPr>
        <w:pStyle w:val="33"/>
        <w:spacing w:before="180" w:after="180" w:afterLines="0" w:line="360" w:lineRule="auto"/>
        <w:ind w:firstLine="482" w:firstLineChars="200"/>
        <w:outlineLvl w:val="2"/>
        <w:rPr>
          <w:rFonts w:ascii="Times New Roman" w:hAnsi="Times New Roman" w:eastAsia="宋体"/>
          <w:sz w:val="24"/>
          <w:szCs w:val="24"/>
        </w:rPr>
      </w:pPr>
      <w:bookmarkStart w:id="369" w:name="_Toc501407888"/>
      <w:r>
        <w:rPr>
          <w:rFonts w:hint="eastAsia" w:ascii="Times New Roman" w:hAnsi="Times New Roman" w:eastAsia="宋体"/>
          <w:sz w:val="24"/>
          <w:szCs w:val="24"/>
        </w:rPr>
        <w:t>1．</w:t>
      </w:r>
      <w:bookmarkEnd w:id="366"/>
      <w:r>
        <w:rPr>
          <w:rFonts w:hint="eastAsia" w:ascii="Times New Roman" w:hAnsi="Times New Roman" w:eastAsia="宋体"/>
          <w:sz w:val="24"/>
          <w:szCs w:val="24"/>
        </w:rPr>
        <w:t>抽样调查的2017届毕业生享受待遇的情况</w:t>
      </w:r>
      <w:bookmarkEnd w:id="367"/>
      <w:bookmarkEnd w:id="368"/>
      <w:bookmarkEnd w:id="369"/>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调查显示，从年薪收入上看，毕业生转正后的税前平均月薪为4775元。从五险待遇看，54.48%的毕业生在工作落实单位有五险，17.92%的毕业生五险不全，27.60%的毕业生在落实单位未缴纳五险。从公积金待遇看，35.04%的受访毕业生在工作落实单位有公积金，64.96%的毕业生没有公积金。</w:t>
      </w:r>
    </w:p>
    <w:p>
      <w:pPr>
        <w:pStyle w:val="33"/>
        <w:spacing w:before="180" w:after="180" w:afterLines="0" w:line="360" w:lineRule="auto"/>
        <w:ind w:firstLine="482" w:firstLineChars="200"/>
        <w:outlineLvl w:val="2"/>
        <w:rPr>
          <w:rFonts w:ascii="Times New Roman" w:hAnsi="Times New Roman" w:eastAsia="宋体"/>
          <w:sz w:val="24"/>
          <w:szCs w:val="24"/>
        </w:rPr>
      </w:pPr>
      <w:bookmarkStart w:id="370" w:name="_Toc30378"/>
      <w:bookmarkStart w:id="371" w:name="_Toc491854161"/>
      <w:bookmarkStart w:id="372" w:name="_Toc428959613"/>
      <w:bookmarkStart w:id="373" w:name="_Toc501407889"/>
      <w:r>
        <w:rPr>
          <w:rFonts w:hint="eastAsia" w:ascii="Times New Roman" w:hAnsi="Times New Roman" w:eastAsia="宋体"/>
          <w:sz w:val="24"/>
          <w:szCs w:val="24"/>
        </w:rPr>
        <w:t>2．抽样调查的2017届毕业生在工作落实单位的发展空间</w:t>
      </w:r>
      <w:bookmarkEnd w:id="370"/>
      <w:bookmarkEnd w:id="371"/>
      <w:bookmarkEnd w:id="372"/>
      <w:r>
        <w:rPr>
          <w:rFonts w:hint="eastAsia" w:ascii="Times New Roman" w:hAnsi="Times New Roman" w:eastAsia="宋体"/>
          <w:sz w:val="24"/>
          <w:szCs w:val="24"/>
        </w:rPr>
        <w:t>和发展路径</w:t>
      </w:r>
      <w:bookmarkEnd w:id="373"/>
    </w:p>
    <w:p>
      <w:pPr>
        <w:autoSpaceDE w:val="0"/>
        <w:spacing w:line="360" w:lineRule="auto"/>
        <w:ind w:firstLine="480" w:firstLineChars="200"/>
        <w:rPr>
          <w:rFonts w:ascii="Times New Roman" w:hAnsi="Times New Roman" w:eastAsia="宋体" w:cs="Times New Roman"/>
          <w:sz w:val="24"/>
          <w:szCs w:val="24"/>
        </w:rPr>
      </w:pPr>
      <w:bookmarkStart w:id="374" w:name="PO_491"/>
      <w:bookmarkEnd w:id="374"/>
      <w:r>
        <w:rPr>
          <w:rFonts w:hint="eastAsia" w:ascii="Times New Roman" w:hAnsi="Times New Roman" w:eastAsia="宋体" w:cs="Times New Roman"/>
          <w:sz w:val="24"/>
          <w:szCs w:val="24"/>
        </w:rPr>
        <w:t>从发展空间上看，20.92%的毕业生认为在工作落实单位有很大的发展空间，22.05%认为发展空间大，50.08%表示不好说，4.44%认为发展空间小，2.50%认为发展空间很小。</w:t>
      </w:r>
    </w:p>
    <w:p>
      <w:pPr>
        <w:jc w:val="center"/>
      </w:pPr>
      <w:r>
        <w:drawing>
          <wp:inline distT="0" distB="0" distL="114300" distR="114300">
            <wp:extent cx="4989830" cy="2238375"/>
            <wp:effectExtent l="4445" t="4445" r="15875" b="5080"/>
            <wp:docPr id="15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图4-14 抽样调查的2017届毕业生在工作落实单位的发展空间</w:t>
      </w:r>
    </w:p>
    <w:p>
      <w:pPr>
        <w:pStyle w:val="33"/>
        <w:spacing w:before="180" w:after="180" w:afterLines="0" w:line="360" w:lineRule="auto"/>
        <w:ind w:firstLine="482" w:firstLineChars="200"/>
        <w:outlineLvl w:val="2"/>
        <w:rPr>
          <w:rFonts w:ascii="Times New Roman" w:hAnsi="Times New Roman" w:eastAsia="宋体"/>
          <w:sz w:val="24"/>
          <w:szCs w:val="24"/>
        </w:rPr>
      </w:pPr>
      <w:bookmarkStart w:id="375" w:name="_Toc428959614"/>
      <w:bookmarkStart w:id="376" w:name="_Toc491854162"/>
      <w:bookmarkStart w:id="377" w:name="_Toc25502"/>
      <w:bookmarkStart w:id="378" w:name="_Toc501407890"/>
      <w:r>
        <w:rPr>
          <w:rFonts w:hint="eastAsia" w:ascii="Times New Roman" w:hAnsi="Times New Roman" w:eastAsia="宋体"/>
          <w:sz w:val="24"/>
          <w:szCs w:val="24"/>
        </w:rPr>
        <w:t>3．抽样调查的2017届毕业生在工作落实单位的发展路径</w:t>
      </w:r>
      <w:bookmarkEnd w:id="375"/>
      <w:bookmarkEnd w:id="376"/>
      <w:bookmarkEnd w:id="377"/>
      <w:bookmarkEnd w:id="378"/>
    </w:p>
    <w:p>
      <w:pPr>
        <w:autoSpaceDE w:val="0"/>
        <w:spacing w:line="360" w:lineRule="auto"/>
        <w:ind w:firstLine="480" w:firstLineChars="200"/>
        <w:rPr>
          <w:rFonts w:ascii="Times New Roman" w:hAnsi="Times New Roman" w:eastAsia="宋体" w:cs="Times New Roman"/>
          <w:sz w:val="24"/>
          <w:szCs w:val="24"/>
        </w:rPr>
      </w:pPr>
      <w:bookmarkStart w:id="379" w:name="PO_4101"/>
      <w:bookmarkEnd w:id="379"/>
      <w:r>
        <w:rPr>
          <w:rFonts w:hint="eastAsia" w:ascii="Times New Roman" w:hAnsi="Times New Roman" w:eastAsia="宋体" w:cs="Times New Roman"/>
          <w:sz w:val="24"/>
          <w:szCs w:val="24"/>
        </w:rPr>
        <w:t>从发展路径来看，18.82%的毕业生认为在工作落实单位有“很清晰”的发展路径，35.14%认为发展路径“清晰”，38.93%认为“不好说”，5.09%认为发展路径“不清晰”，2.02%认为发展路径“很不清晰”。</w:t>
      </w:r>
    </w:p>
    <w:p>
      <w:pPr>
        <w:jc w:val="center"/>
      </w:pPr>
      <w:bookmarkStart w:id="380" w:name="PO_4102"/>
      <w:bookmarkEnd w:id="380"/>
      <w:r>
        <w:drawing>
          <wp:inline distT="0" distB="0" distL="114300" distR="114300">
            <wp:extent cx="4794885" cy="2366010"/>
            <wp:effectExtent l="4445" t="4445" r="20320" b="10795"/>
            <wp:docPr id="156"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图4-15 抽样调查的2017届毕业生对未来在工作落实单位的发展的认识</w:t>
      </w:r>
    </w:p>
    <w:p>
      <w:pPr>
        <w:pStyle w:val="33"/>
        <w:spacing w:before="180" w:after="180" w:afterLines="0" w:line="360" w:lineRule="auto"/>
        <w:ind w:firstLine="482" w:firstLineChars="200"/>
        <w:outlineLvl w:val="2"/>
        <w:rPr>
          <w:rFonts w:ascii="Times New Roman" w:hAnsi="Times New Roman" w:eastAsia="宋体"/>
          <w:sz w:val="24"/>
          <w:szCs w:val="24"/>
        </w:rPr>
      </w:pPr>
      <w:bookmarkStart w:id="381" w:name="_Toc491854164"/>
      <w:bookmarkStart w:id="382" w:name="_Toc501407891"/>
      <w:bookmarkStart w:id="383" w:name="_Toc16024"/>
      <w:bookmarkStart w:id="384" w:name="_Toc428959616"/>
      <w:r>
        <w:rPr>
          <w:rFonts w:hint="eastAsia" w:ascii="Times New Roman" w:hAnsi="Times New Roman" w:eastAsia="宋体"/>
          <w:sz w:val="24"/>
          <w:szCs w:val="24"/>
        </w:rPr>
        <w:t>4．抽样调查的2017届毕业生预期在工作落实单位工作的时间</w:t>
      </w:r>
      <w:bookmarkEnd w:id="381"/>
      <w:bookmarkEnd w:id="382"/>
      <w:bookmarkEnd w:id="383"/>
      <w:bookmarkEnd w:id="384"/>
    </w:p>
    <w:p>
      <w:pPr>
        <w:autoSpaceDE w:val="0"/>
        <w:spacing w:line="360" w:lineRule="auto"/>
        <w:ind w:firstLine="480" w:firstLineChars="200"/>
        <w:rPr>
          <w:rFonts w:ascii="Times New Roman" w:hAnsi="Times New Roman" w:eastAsia="宋体" w:cs="Times New Roman"/>
          <w:sz w:val="24"/>
          <w:szCs w:val="24"/>
        </w:rPr>
      </w:pPr>
      <w:bookmarkStart w:id="385" w:name="PO_41121"/>
      <w:bookmarkEnd w:id="385"/>
      <w:r>
        <w:rPr>
          <w:rFonts w:hint="eastAsia" w:ascii="Times New Roman" w:hAnsi="Times New Roman" w:eastAsia="宋体" w:cs="Times New Roman"/>
          <w:sz w:val="24"/>
          <w:szCs w:val="24"/>
        </w:rPr>
        <w:t>从毕业生工作的稳定性上看，38.93%的毕业生计划在落实单位工作1年以内，47.98%计划工作1～3年，8.08%计划工作3～5年，5.01%计划工作5年及以上。</w:t>
      </w:r>
    </w:p>
    <w:p>
      <w:pPr>
        <w:jc w:val="center"/>
      </w:pPr>
      <w:bookmarkStart w:id="386" w:name="PO_41122"/>
      <w:bookmarkEnd w:id="386"/>
      <w:r>
        <w:drawing>
          <wp:inline distT="0" distB="0" distL="114300" distR="114300">
            <wp:extent cx="4425315" cy="2207895"/>
            <wp:effectExtent l="4445" t="4445" r="8890" b="16510"/>
            <wp:docPr id="158"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图4-16 抽样调查的2017届毕业生工作稳定性</w:t>
      </w:r>
    </w:p>
    <w:p>
      <w:pPr>
        <w:pStyle w:val="33"/>
        <w:spacing w:before="180" w:after="180" w:afterLines="0" w:line="360" w:lineRule="auto"/>
        <w:ind w:firstLine="482" w:firstLineChars="200"/>
        <w:outlineLvl w:val="2"/>
        <w:rPr>
          <w:rFonts w:ascii="Times New Roman" w:hAnsi="Times New Roman" w:eastAsia="宋体"/>
          <w:sz w:val="24"/>
          <w:szCs w:val="24"/>
        </w:rPr>
      </w:pPr>
      <w:bookmarkStart w:id="387" w:name="_Toc428959617"/>
      <w:bookmarkStart w:id="388" w:name="_Toc501407892"/>
      <w:bookmarkStart w:id="389" w:name="_Toc2790"/>
      <w:bookmarkStart w:id="390" w:name="_Toc491854165"/>
      <w:r>
        <w:rPr>
          <w:rFonts w:hint="eastAsia" w:ascii="Times New Roman" w:hAnsi="Times New Roman" w:eastAsia="宋体"/>
          <w:sz w:val="24"/>
          <w:szCs w:val="24"/>
        </w:rPr>
        <w:t>5．</w:t>
      </w:r>
      <w:bookmarkEnd w:id="387"/>
      <w:r>
        <w:rPr>
          <w:rFonts w:hint="eastAsia" w:ascii="Times New Roman" w:hAnsi="Times New Roman" w:eastAsia="宋体"/>
          <w:sz w:val="24"/>
          <w:szCs w:val="24"/>
        </w:rPr>
        <w:t>目前落实的工作是否与期望相符</w:t>
      </w:r>
      <w:bookmarkEnd w:id="388"/>
      <w:bookmarkEnd w:id="389"/>
      <w:bookmarkEnd w:id="390"/>
    </w:p>
    <w:p>
      <w:pPr>
        <w:autoSpaceDE w:val="0"/>
        <w:spacing w:line="360" w:lineRule="auto"/>
        <w:ind w:firstLine="480" w:firstLineChars="200"/>
        <w:rPr>
          <w:rFonts w:ascii="Times New Roman" w:hAnsi="Times New Roman" w:eastAsia="宋体" w:cs="Times New Roman"/>
          <w:sz w:val="24"/>
          <w:szCs w:val="24"/>
        </w:rPr>
      </w:pPr>
      <w:bookmarkStart w:id="391" w:name="PO_41131"/>
      <w:bookmarkEnd w:id="391"/>
      <w:r>
        <w:rPr>
          <w:rFonts w:hint="eastAsia" w:ascii="Times New Roman" w:hAnsi="Times New Roman" w:eastAsia="宋体" w:cs="Times New Roman"/>
          <w:sz w:val="24"/>
          <w:szCs w:val="24"/>
        </w:rPr>
        <w:t>从落实工作与期望工作的相符程度上看，15.02%的毕业生落实的工作与期望“很相符”，50.32%落实的工作与期望“相符”，25.12%认为“不好说”，6.54%表示“不相符”，2.99%表示“很不相符”。</w:t>
      </w:r>
    </w:p>
    <w:p>
      <w:pPr>
        <w:jc w:val="center"/>
      </w:pPr>
      <w:bookmarkStart w:id="392" w:name="PO_41132"/>
      <w:bookmarkEnd w:id="392"/>
      <w:r>
        <w:drawing>
          <wp:inline distT="0" distB="0" distL="114300" distR="114300">
            <wp:extent cx="4405630" cy="2025650"/>
            <wp:effectExtent l="4445" t="4445" r="9525" b="8255"/>
            <wp:docPr id="159"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图4-17 抽样调查的2017届毕业生落实工作与期望的相符程度</w:t>
      </w:r>
    </w:p>
    <w:p>
      <w:pPr>
        <w:pStyle w:val="33"/>
        <w:spacing w:before="180" w:after="180" w:afterLines="0" w:line="360" w:lineRule="auto"/>
        <w:ind w:firstLine="482" w:firstLineChars="200"/>
        <w:outlineLvl w:val="2"/>
        <w:rPr>
          <w:rFonts w:ascii="Times New Roman" w:hAnsi="Times New Roman" w:eastAsia="宋体"/>
          <w:sz w:val="24"/>
          <w:szCs w:val="24"/>
        </w:rPr>
      </w:pPr>
      <w:bookmarkStart w:id="393" w:name="_Toc428959615"/>
      <w:bookmarkStart w:id="394" w:name="_Toc17355"/>
      <w:bookmarkStart w:id="395" w:name="_Toc491854163"/>
      <w:bookmarkStart w:id="396" w:name="_Toc501407893"/>
      <w:r>
        <w:rPr>
          <w:rFonts w:hint="eastAsia" w:ascii="Times New Roman" w:hAnsi="Times New Roman" w:eastAsia="宋体"/>
          <w:sz w:val="24"/>
          <w:szCs w:val="24"/>
        </w:rPr>
        <w:t>6．已落实工作的整体满意度</w:t>
      </w:r>
      <w:bookmarkEnd w:id="393"/>
      <w:bookmarkEnd w:id="394"/>
      <w:bookmarkEnd w:id="395"/>
      <w:bookmarkEnd w:id="396"/>
      <w:r>
        <w:rPr>
          <w:rFonts w:hint="eastAsia" w:ascii="Times New Roman" w:hAnsi="Times New Roman" w:eastAsia="宋体"/>
          <w:sz w:val="24"/>
          <w:szCs w:val="24"/>
        </w:rPr>
        <w:t xml:space="preserve"> </w:t>
      </w:r>
    </w:p>
    <w:p>
      <w:pPr>
        <w:autoSpaceDE w:val="0"/>
        <w:spacing w:line="360" w:lineRule="auto"/>
        <w:ind w:firstLine="480" w:firstLineChars="200"/>
        <w:rPr>
          <w:rFonts w:ascii="Times New Roman" w:hAnsi="Times New Roman" w:eastAsia="宋体" w:cs="Times New Roman"/>
          <w:sz w:val="24"/>
          <w:szCs w:val="24"/>
        </w:rPr>
      </w:pPr>
      <w:bookmarkStart w:id="397" w:name="PO_41111"/>
      <w:bookmarkEnd w:id="397"/>
      <w:r>
        <w:rPr>
          <w:rFonts w:hint="eastAsia" w:ascii="Times New Roman" w:hAnsi="Times New Roman" w:eastAsia="宋体" w:cs="Times New Roman"/>
          <w:sz w:val="24"/>
          <w:szCs w:val="24"/>
        </w:rPr>
        <w:t>毕业生对于已落实工作的满意度，17.53%的毕业生表示“很满意”，39.42%表示“满意”，32.96%认为不好说，8.08%表示“不满意”，2.02%表示“很不满意”。</w:t>
      </w:r>
    </w:p>
    <w:p>
      <w:pPr>
        <w:jc w:val="center"/>
      </w:pPr>
      <w:bookmarkStart w:id="398" w:name="PO_41112"/>
      <w:bookmarkEnd w:id="398"/>
      <w:r>
        <w:drawing>
          <wp:inline distT="0" distB="0" distL="114300" distR="114300">
            <wp:extent cx="4852035" cy="2140585"/>
            <wp:effectExtent l="4445" t="4445" r="20320" b="7620"/>
            <wp:docPr id="157"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图4-18 抽样调查的2017届毕业生对已落实工作的整体满意度</w:t>
      </w:r>
    </w:p>
    <w:p>
      <w:pPr>
        <w:pStyle w:val="3"/>
        <w:autoSpaceDE w:val="0"/>
        <w:spacing w:line="312" w:lineRule="auto"/>
        <w:rPr>
          <w:rFonts w:ascii="Times New Roman" w:hAnsi="Times New Roman" w:eastAsia="黑体" w:cs="Times New Roman"/>
        </w:rPr>
      </w:pPr>
      <w:bookmarkStart w:id="399" w:name="_Toc501407894"/>
      <w:bookmarkStart w:id="400" w:name="_Toc428959626"/>
      <w:bookmarkStart w:id="401" w:name="_Toc975"/>
      <w:bookmarkStart w:id="402" w:name="_Toc491854167"/>
      <w:r>
        <w:rPr>
          <w:rFonts w:hint="eastAsia" w:ascii="Times New Roman" w:hAnsi="Times New Roman" w:eastAsia="黑体" w:cs="Times New Roman"/>
        </w:rPr>
        <w:t>三、抽样调查的2017届毕业生创业情况调查</w:t>
      </w:r>
      <w:bookmarkEnd w:id="399"/>
    </w:p>
    <w:p>
      <w:pPr>
        <w:pStyle w:val="4"/>
        <w:autoSpaceDE w:val="0"/>
        <w:spacing w:beforeLines="0" w:afterLines="0" w:line="312" w:lineRule="auto"/>
        <w:ind w:firstLine="0" w:firstLineChars="0"/>
        <w:jc w:val="both"/>
        <w:rPr>
          <w:rFonts w:eastAsia="黑体"/>
          <w:bCs w:val="0"/>
          <w:snapToGrid/>
          <w:sz w:val="28"/>
          <w:szCs w:val="28"/>
        </w:rPr>
      </w:pPr>
      <w:bookmarkStart w:id="403" w:name="_Toc501407895"/>
      <w:r>
        <w:rPr>
          <w:rFonts w:hint="eastAsia" w:eastAsia="黑体"/>
          <w:bCs w:val="0"/>
          <w:snapToGrid/>
          <w:sz w:val="28"/>
          <w:szCs w:val="28"/>
        </w:rPr>
        <w:t>（一）抽样调查的2017届毕业生创业基本情况</w:t>
      </w:r>
      <w:bookmarkEnd w:id="403"/>
    </w:p>
    <w:p>
      <w:pPr>
        <w:pStyle w:val="33"/>
        <w:spacing w:before="180" w:after="180" w:afterLines="0" w:line="360" w:lineRule="auto"/>
        <w:ind w:firstLine="482" w:firstLineChars="200"/>
        <w:outlineLvl w:val="2"/>
        <w:rPr>
          <w:rFonts w:ascii="Times New Roman" w:hAnsi="Times New Roman" w:eastAsia="宋体"/>
          <w:sz w:val="24"/>
          <w:szCs w:val="24"/>
        </w:rPr>
      </w:pPr>
      <w:bookmarkStart w:id="404" w:name="_Toc501407896"/>
      <w:r>
        <w:rPr>
          <w:rFonts w:hint="eastAsia" w:ascii="Times New Roman" w:hAnsi="Times New Roman" w:eastAsia="宋体"/>
          <w:sz w:val="24"/>
          <w:szCs w:val="24"/>
        </w:rPr>
        <w:t>1．抽样调查的2017届毕业生自主创业的主要</w:t>
      </w:r>
      <w:bookmarkEnd w:id="400"/>
      <w:r>
        <w:rPr>
          <w:rFonts w:hint="eastAsia" w:ascii="Times New Roman" w:hAnsi="Times New Roman" w:eastAsia="宋体"/>
          <w:sz w:val="24"/>
          <w:szCs w:val="24"/>
        </w:rPr>
        <w:t>原因</w:t>
      </w:r>
      <w:bookmarkEnd w:id="401"/>
      <w:bookmarkEnd w:id="402"/>
      <w:bookmarkEnd w:id="404"/>
    </w:p>
    <w:p>
      <w:pPr>
        <w:autoSpaceDE w:val="0"/>
        <w:spacing w:line="360" w:lineRule="auto"/>
        <w:ind w:firstLine="480" w:firstLineChars="200"/>
        <w:rPr>
          <w:rFonts w:ascii="Times New Roman" w:hAnsi="Times New Roman" w:eastAsia="宋体" w:cs="Times New Roman"/>
          <w:sz w:val="24"/>
          <w:szCs w:val="24"/>
        </w:rPr>
      </w:pPr>
      <w:bookmarkStart w:id="405" w:name="PO_511"/>
      <w:bookmarkEnd w:id="405"/>
      <w:r>
        <w:rPr>
          <w:rFonts w:hint="eastAsia" w:ascii="Times New Roman" w:hAnsi="Times New Roman" w:eastAsia="宋体" w:cs="Times New Roman"/>
          <w:sz w:val="24"/>
          <w:szCs w:val="24"/>
        </w:rPr>
        <w:t>抽样调查的数据显示，有61人选择了创业，从创业动机来看，25个毕业生选择自主创业主要是因为“有好的创业点子想实现”，16人是因为“个人理想就是想成为创业者”，7人是因为“受他人邀请合伙创业”，7人是因为“期待有较高收入”，还有3人是其他原因。</w:t>
      </w:r>
    </w:p>
    <w:p>
      <w:pPr>
        <w:jc w:val="center"/>
      </w:pPr>
      <w:r>
        <w:drawing>
          <wp:inline distT="0" distB="0" distL="114300" distR="114300">
            <wp:extent cx="4660265" cy="2273935"/>
            <wp:effectExtent l="4445" t="5080" r="21590" b="6985"/>
            <wp:docPr id="16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图4-19 抽样调查的2017届毕业生选择创业的主要原因</w:t>
      </w:r>
    </w:p>
    <w:p>
      <w:pPr>
        <w:pStyle w:val="33"/>
        <w:spacing w:before="180" w:after="180" w:afterLines="0" w:line="360" w:lineRule="auto"/>
        <w:ind w:firstLine="482" w:firstLineChars="200"/>
        <w:outlineLvl w:val="2"/>
        <w:rPr>
          <w:rFonts w:ascii="Times New Roman" w:hAnsi="Times New Roman" w:eastAsia="宋体"/>
          <w:sz w:val="24"/>
          <w:szCs w:val="24"/>
        </w:rPr>
      </w:pPr>
      <w:bookmarkStart w:id="406" w:name="_Toc501407897"/>
      <w:bookmarkStart w:id="407" w:name="_Toc491854168"/>
      <w:bookmarkStart w:id="408" w:name="_Toc969"/>
      <w:bookmarkStart w:id="409" w:name="_Toc428959635"/>
      <w:r>
        <w:rPr>
          <w:rFonts w:hint="eastAsia" w:ascii="Times New Roman" w:hAnsi="Times New Roman" w:eastAsia="宋体"/>
          <w:sz w:val="24"/>
          <w:szCs w:val="24"/>
        </w:rPr>
        <w:t>2．抽样调查的2017届毕业生创业项目投资额及经营利润</w:t>
      </w:r>
      <w:bookmarkEnd w:id="406"/>
      <w:bookmarkEnd w:id="407"/>
      <w:bookmarkEnd w:id="408"/>
      <w:bookmarkEnd w:id="409"/>
    </w:p>
    <w:p>
      <w:pPr>
        <w:autoSpaceDE w:val="0"/>
        <w:spacing w:line="360" w:lineRule="auto"/>
        <w:ind w:firstLine="480" w:firstLineChars="200"/>
        <w:rPr>
          <w:rFonts w:ascii="Times New Roman" w:hAnsi="Times New Roman" w:eastAsia="宋体" w:cs="Times New Roman"/>
          <w:sz w:val="24"/>
          <w:szCs w:val="24"/>
        </w:rPr>
      </w:pPr>
      <w:bookmarkStart w:id="410" w:name="PO_5211"/>
      <w:bookmarkEnd w:id="410"/>
      <w:r>
        <w:rPr>
          <w:rFonts w:hint="eastAsia" w:ascii="Times New Roman" w:hAnsi="Times New Roman" w:eastAsia="宋体" w:cs="Times New Roman"/>
          <w:sz w:val="24"/>
          <w:szCs w:val="24"/>
        </w:rPr>
        <w:t>本校毕业生从创业初始至今，其创业项目的投资总额平均为17.10万元；</w:t>
      </w:r>
      <w:bookmarkStart w:id="411" w:name="PO_5221"/>
      <w:bookmarkEnd w:id="411"/>
      <w:r>
        <w:rPr>
          <w:rFonts w:hint="eastAsia" w:ascii="Times New Roman" w:hAnsi="Times New Roman" w:eastAsia="宋体" w:cs="Times New Roman"/>
          <w:sz w:val="24"/>
          <w:szCs w:val="24"/>
        </w:rPr>
        <w:t>参与的创业项目的利润总额平均为9.63万元；</w:t>
      </w:r>
      <w:bookmarkStart w:id="412" w:name="PO_5231"/>
      <w:bookmarkEnd w:id="412"/>
      <w:r>
        <w:rPr>
          <w:rFonts w:hint="eastAsia" w:ascii="Times New Roman" w:hAnsi="Times New Roman" w:eastAsia="宋体" w:cs="Times New Roman"/>
          <w:sz w:val="24"/>
          <w:szCs w:val="24"/>
        </w:rPr>
        <w:t>所在创业团队经营时间平均为4.42个月；所在创业团队的成员人数平均为10.94名。</w:t>
      </w:r>
    </w:p>
    <w:p>
      <w:pPr>
        <w:pStyle w:val="33"/>
        <w:spacing w:before="180" w:after="180" w:afterLines="0" w:line="360" w:lineRule="auto"/>
        <w:ind w:firstLine="482" w:firstLineChars="200"/>
        <w:outlineLvl w:val="2"/>
        <w:rPr>
          <w:rFonts w:ascii="Times New Roman" w:hAnsi="Times New Roman" w:eastAsia="宋体"/>
          <w:sz w:val="24"/>
          <w:szCs w:val="24"/>
        </w:rPr>
      </w:pPr>
      <w:bookmarkStart w:id="413" w:name="_Toc30506"/>
      <w:bookmarkStart w:id="414" w:name="_Toc491854173"/>
      <w:bookmarkStart w:id="415" w:name="_Toc428959633"/>
      <w:bookmarkStart w:id="416" w:name="_Toc501407898"/>
      <w:r>
        <w:rPr>
          <w:rFonts w:hint="eastAsia" w:ascii="Times New Roman" w:hAnsi="Times New Roman" w:eastAsia="宋体"/>
          <w:sz w:val="24"/>
          <w:szCs w:val="24"/>
        </w:rPr>
        <w:t>3．抽样调查的2017届毕业生创业地区</w:t>
      </w:r>
      <w:bookmarkEnd w:id="413"/>
      <w:bookmarkEnd w:id="414"/>
      <w:bookmarkEnd w:id="415"/>
      <w:bookmarkEnd w:id="416"/>
      <w:r>
        <w:rPr>
          <w:rFonts w:hint="eastAsia" w:ascii="Times New Roman" w:hAnsi="Times New Roman" w:eastAsia="宋体"/>
          <w:sz w:val="24"/>
          <w:szCs w:val="24"/>
        </w:rPr>
        <w:t xml:space="preserve"> </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从创业地区上看，</w:t>
      </w:r>
      <w:bookmarkStart w:id="417" w:name="PO_531"/>
      <w:bookmarkEnd w:id="417"/>
      <w:r>
        <w:rPr>
          <w:rFonts w:hint="eastAsia" w:ascii="Times New Roman" w:hAnsi="Times New Roman" w:eastAsia="宋体" w:cs="Times New Roman"/>
          <w:sz w:val="24"/>
          <w:szCs w:val="24"/>
        </w:rPr>
        <w:t>67.21%的毕业生在省内创业，14.75%在东部地区创业，11.48%在中部地区创业，6.56%在西部地区创业。</w:t>
      </w:r>
    </w:p>
    <w:p>
      <w:pPr>
        <w:jc w:val="center"/>
      </w:pPr>
      <w:bookmarkStart w:id="418" w:name="PO_532"/>
      <w:bookmarkEnd w:id="418"/>
      <w:bookmarkStart w:id="419" w:name="_Toc428959634"/>
      <w:r>
        <w:drawing>
          <wp:inline distT="0" distB="0" distL="114300" distR="114300">
            <wp:extent cx="4409440" cy="1845310"/>
            <wp:effectExtent l="4445" t="5080" r="5715" b="16510"/>
            <wp:docPr id="16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图4-20 抽样调查的2017届毕业生创业地区</w:t>
      </w:r>
    </w:p>
    <w:p>
      <w:pPr>
        <w:pStyle w:val="33"/>
        <w:spacing w:before="180" w:after="180" w:afterLines="0" w:line="360" w:lineRule="auto"/>
        <w:ind w:firstLine="482" w:firstLineChars="200"/>
        <w:outlineLvl w:val="2"/>
        <w:rPr>
          <w:rFonts w:ascii="Times New Roman" w:hAnsi="Times New Roman" w:eastAsia="宋体"/>
          <w:sz w:val="24"/>
          <w:szCs w:val="24"/>
        </w:rPr>
      </w:pPr>
      <w:bookmarkStart w:id="420" w:name="_Toc491854174"/>
      <w:bookmarkStart w:id="421" w:name="_Toc26828"/>
      <w:bookmarkStart w:id="422" w:name="_Toc501407899"/>
      <w:r>
        <w:rPr>
          <w:rFonts w:hint="eastAsia" w:ascii="Times New Roman" w:hAnsi="Times New Roman" w:eastAsia="宋体"/>
          <w:sz w:val="24"/>
          <w:szCs w:val="24"/>
        </w:rPr>
        <w:t>4．抽样调查的2017届毕业生创业行业</w:t>
      </w:r>
      <w:bookmarkEnd w:id="419"/>
      <w:bookmarkEnd w:id="420"/>
      <w:bookmarkEnd w:id="421"/>
      <w:bookmarkEnd w:id="422"/>
    </w:p>
    <w:p>
      <w:pPr>
        <w:autoSpaceDE w:val="0"/>
        <w:spacing w:line="360" w:lineRule="auto"/>
        <w:ind w:firstLine="480" w:firstLineChars="200"/>
        <w:rPr>
          <w:rFonts w:ascii="Times New Roman" w:hAnsi="Times New Roman" w:eastAsia="宋体" w:cs="Times New Roman"/>
          <w:sz w:val="24"/>
          <w:szCs w:val="24"/>
        </w:rPr>
      </w:pPr>
      <w:bookmarkStart w:id="423" w:name="PO_541"/>
      <w:bookmarkEnd w:id="423"/>
      <w:r>
        <w:rPr>
          <w:rFonts w:hint="eastAsia" w:ascii="Times New Roman" w:hAnsi="Times New Roman" w:eastAsia="宋体" w:cs="Times New Roman"/>
          <w:sz w:val="24"/>
          <w:szCs w:val="24"/>
        </w:rPr>
        <w:t>从创业行业看，本校毕业生创业行业主要集中在教育（19份），批发和零售业（15份），其他（12份）。</w:t>
      </w:r>
    </w:p>
    <w:p>
      <w:pPr>
        <w:jc w:val="center"/>
      </w:pPr>
      <w:bookmarkStart w:id="424" w:name="PO_542"/>
      <w:bookmarkEnd w:id="424"/>
      <w:r>
        <w:drawing>
          <wp:inline distT="0" distB="0" distL="114300" distR="114300">
            <wp:extent cx="5093335" cy="1871980"/>
            <wp:effectExtent l="4445" t="4445" r="7620" b="9525"/>
            <wp:docPr id="16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图4-21 抽样调查的2017届毕业生创业行业</w:t>
      </w:r>
    </w:p>
    <w:p>
      <w:pPr>
        <w:pStyle w:val="33"/>
        <w:spacing w:before="180" w:after="180" w:afterLines="0" w:line="360" w:lineRule="auto"/>
        <w:ind w:firstLine="482" w:firstLineChars="200"/>
        <w:outlineLvl w:val="2"/>
        <w:rPr>
          <w:rFonts w:ascii="Times New Roman" w:hAnsi="Times New Roman" w:eastAsia="宋体"/>
          <w:sz w:val="24"/>
          <w:szCs w:val="24"/>
        </w:rPr>
      </w:pPr>
      <w:bookmarkStart w:id="425" w:name="_Toc491854175"/>
      <w:bookmarkStart w:id="426" w:name="_Toc428959638"/>
      <w:bookmarkStart w:id="427" w:name="_Toc32643"/>
      <w:bookmarkStart w:id="428" w:name="_Toc501407900"/>
      <w:r>
        <w:rPr>
          <w:rFonts w:hint="eastAsia" w:ascii="Times New Roman" w:hAnsi="Times New Roman" w:eastAsia="宋体"/>
          <w:sz w:val="24"/>
          <w:szCs w:val="24"/>
        </w:rPr>
        <w:t>5．抽样调查的2017届毕业生从事的创业工作与所学专业的相关程度</w:t>
      </w:r>
      <w:bookmarkEnd w:id="425"/>
      <w:bookmarkEnd w:id="426"/>
      <w:bookmarkEnd w:id="427"/>
      <w:bookmarkEnd w:id="428"/>
    </w:p>
    <w:p>
      <w:pPr>
        <w:autoSpaceDE w:val="0"/>
        <w:spacing w:line="360" w:lineRule="auto"/>
        <w:ind w:firstLine="480" w:firstLineChars="200"/>
        <w:rPr>
          <w:rFonts w:ascii="Times New Roman" w:hAnsi="Times New Roman" w:eastAsia="宋体" w:cs="Times New Roman"/>
          <w:sz w:val="24"/>
          <w:szCs w:val="24"/>
        </w:rPr>
      </w:pPr>
      <w:bookmarkStart w:id="429" w:name="PO_551"/>
      <w:bookmarkEnd w:id="429"/>
      <w:r>
        <w:rPr>
          <w:rFonts w:hint="eastAsia" w:ascii="Times New Roman" w:hAnsi="Times New Roman" w:eastAsia="宋体" w:cs="Times New Roman"/>
          <w:sz w:val="24"/>
          <w:szCs w:val="24"/>
        </w:rPr>
        <w:t>从创业工作与专业的相关程度上看，11.48%认为“很相关”，29.51%认为“相关”，26.23%认为“不好说”，21.31%认为“不相关”，11.48%认为“很不相关”。</w:t>
      </w:r>
    </w:p>
    <w:p>
      <w:pPr>
        <w:jc w:val="center"/>
      </w:pPr>
      <w:r>
        <w:drawing>
          <wp:inline distT="0" distB="0" distL="114300" distR="114300">
            <wp:extent cx="4805045" cy="1860550"/>
            <wp:effectExtent l="4445" t="5080" r="10160" b="20320"/>
            <wp:docPr id="16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图4-22 抽样调查的2017届毕业生创业工作与所学专业的相关程度</w:t>
      </w:r>
    </w:p>
    <w:p>
      <w:pPr>
        <w:pStyle w:val="4"/>
        <w:autoSpaceDE w:val="0"/>
        <w:spacing w:beforeLines="0" w:afterLines="0" w:line="312" w:lineRule="auto"/>
        <w:ind w:firstLine="0" w:firstLineChars="0"/>
        <w:jc w:val="both"/>
        <w:rPr>
          <w:rFonts w:eastAsia="黑体"/>
          <w:bCs w:val="0"/>
          <w:snapToGrid/>
          <w:sz w:val="28"/>
          <w:szCs w:val="28"/>
        </w:rPr>
      </w:pPr>
      <w:bookmarkStart w:id="430" w:name="_Toc501407901"/>
      <w:bookmarkStart w:id="431" w:name="_Toc428959639"/>
      <w:bookmarkStart w:id="432" w:name="_Toc19388"/>
      <w:bookmarkStart w:id="433" w:name="_Toc491854176"/>
      <w:r>
        <w:rPr>
          <w:rFonts w:hint="eastAsia" w:eastAsia="黑体"/>
          <w:bCs w:val="0"/>
          <w:snapToGrid/>
          <w:sz w:val="28"/>
          <w:szCs w:val="28"/>
        </w:rPr>
        <w:t>（二）抽样调查的2017届毕业生创业所遇到问题</w:t>
      </w:r>
      <w:bookmarkEnd w:id="430"/>
    </w:p>
    <w:p>
      <w:pPr>
        <w:pStyle w:val="33"/>
        <w:spacing w:before="180" w:after="180" w:afterLines="0" w:line="360" w:lineRule="auto"/>
        <w:ind w:firstLine="482" w:firstLineChars="200"/>
        <w:outlineLvl w:val="2"/>
        <w:rPr>
          <w:rFonts w:ascii="Times New Roman" w:hAnsi="Times New Roman" w:eastAsia="宋体"/>
          <w:sz w:val="24"/>
          <w:szCs w:val="24"/>
        </w:rPr>
      </w:pPr>
      <w:bookmarkStart w:id="434" w:name="_Toc501407902"/>
      <w:r>
        <w:rPr>
          <w:rFonts w:hint="eastAsia" w:ascii="Times New Roman" w:hAnsi="Times New Roman" w:eastAsia="宋体"/>
          <w:sz w:val="24"/>
          <w:szCs w:val="24"/>
        </w:rPr>
        <w:t>1．</w:t>
      </w:r>
      <w:bookmarkEnd w:id="431"/>
      <w:r>
        <w:rPr>
          <w:rFonts w:hint="eastAsia" w:ascii="Times New Roman" w:hAnsi="Times New Roman" w:eastAsia="宋体"/>
          <w:sz w:val="24"/>
          <w:szCs w:val="24"/>
        </w:rPr>
        <w:t>抽样调查的2017届毕业生创业项目的筹资途径</w:t>
      </w:r>
      <w:bookmarkEnd w:id="432"/>
      <w:bookmarkEnd w:id="433"/>
      <w:bookmarkEnd w:id="434"/>
    </w:p>
    <w:p>
      <w:pPr>
        <w:autoSpaceDE w:val="0"/>
        <w:spacing w:line="360" w:lineRule="auto"/>
        <w:ind w:firstLine="480" w:firstLineChars="200"/>
        <w:rPr>
          <w:rFonts w:ascii="Times New Roman" w:hAnsi="Times New Roman" w:eastAsia="宋体" w:cs="Times New Roman"/>
          <w:sz w:val="24"/>
          <w:szCs w:val="24"/>
        </w:rPr>
      </w:pPr>
      <w:bookmarkStart w:id="435" w:name="PO_561"/>
      <w:bookmarkEnd w:id="435"/>
      <w:r>
        <w:rPr>
          <w:rFonts w:hint="eastAsia" w:ascii="Times New Roman" w:hAnsi="Times New Roman" w:eastAsia="宋体" w:cs="Times New Roman"/>
          <w:sz w:val="24"/>
          <w:szCs w:val="24"/>
        </w:rPr>
        <w:t>本题为多选题，调查显示，从项目的筹资途径来看，89.47%的毕业生选择自筹资金，2.63%选择技术融资，2.63%选择风险投资，5.26%选择政府扶持，2.63%选择高校支持，5.26%选择银行贷款。</w:t>
      </w:r>
    </w:p>
    <w:p>
      <w:pPr>
        <w:jc w:val="center"/>
      </w:pPr>
      <w:bookmarkStart w:id="436" w:name="PO_562"/>
      <w:bookmarkEnd w:id="436"/>
      <w:r>
        <w:rPr>
          <w:rFonts w:hint="eastAsia"/>
        </w:rPr>
        <w:drawing>
          <wp:inline distT="0" distB="0" distL="0" distR="0">
            <wp:extent cx="4234815" cy="2108200"/>
            <wp:effectExtent l="4445" t="4445" r="8890" b="20955"/>
            <wp:docPr id="27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bookmarkStart w:id="437" w:name="PO_563"/>
      <w:bookmarkEnd w:id="437"/>
      <w:r>
        <w:rPr>
          <w:rFonts w:hint="eastAsia" w:ascii="Times New Roman" w:hAnsi="Times New Roman" w:eastAsia="宋体" w:cs="Times New Roman"/>
          <w:snapToGrid w:val="0"/>
          <w:sz w:val="24"/>
          <w:szCs w:val="24"/>
        </w:rPr>
        <w:t>图4-23 抽样调查的2017届毕业生创业项目的筹资途径</w:t>
      </w:r>
    </w:p>
    <w:p>
      <w:pPr>
        <w:pStyle w:val="33"/>
        <w:spacing w:before="180" w:after="180" w:afterLines="0" w:line="360" w:lineRule="auto"/>
        <w:ind w:firstLine="482" w:firstLineChars="200"/>
        <w:outlineLvl w:val="2"/>
        <w:rPr>
          <w:rFonts w:ascii="Times New Roman" w:hAnsi="Times New Roman" w:eastAsia="宋体"/>
          <w:sz w:val="24"/>
          <w:szCs w:val="24"/>
        </w:rPr>
      </w:pPr>
      <w:bookmarkStart w:id="438" w:name="_Toc501407903"/>
      <w:bookmarkStart w:id="439" w:name="_Toc491854177"/>
      <w:bookmarkStart w:id="440" w:name="_Toc31845"/>
      <w:bookmarkStart w:id="441" w:name="_Toc428959642"/>
      <w:r>
        <w:rPr>
          <w:rFonts w:hint="eastAsia" w:ascii="Times New Roman" w:hAnsi="Times New Roman" w:eastAsia="宋体"/>
          <w:sz w:val="24"/>
          <w:szCs w:val="24"/>
        </w:rPr>
        <w:t>2．抽样调查的2017届毕业生创业过程中遇到最难以解决的问题</w:t>
      </w:r>
      <w:bookmarkEnd w:id="438"/>
      <w:bookmarkEnd w:id="439"/>
      <w:bookmarkEnd w:id="440"/>
      <w:bookmarkEnd w:id="441"/>
    </w:p>
    <w:p>
      <w:pPr>
        <w:autoSpaceDE w:val="0"/>
        <w:spacing w:line="360" w:lineRule="auto"/>
        <w:ind w:firstLine="480" w:firstLineChars="200"/>
        <w:rPr>
          <w:rFonts w:ascii="Times New Roman" w:hAnsi="Times New Roman" w:eastAsia="宋体" w:cs="Times New Roman"/>
          <w:sz w:val="24"/>
          <w:szCs w:val="24"/>
        </w:rPr>
      </w:pPr>
      <w:bookmarkStart w:id="442" w:name="PO_571"/>
      <w:bookmarkEnd w:id="442"/>
      <w:r>
        <w:rPr>
          <w:rFonts w:hint="eastAsia" w:ascii="Times New Roman" w:hAnsi="Times New Roman" w:eastAsia="宋体" w:cs="Times New Roman"/>
          <w:sz w:val="24"/>
          <w:szCs w:val="24"/>
        </w:rPr>
        <w:t>从创业中遇到的最难问题上看，13.11%认为是撰写商业计划书，13.11%认为是寻找资金支持，6.56%认为是享受创业优惠政策，6.56%认为是寻找经营场地，22.95%认为是创业团队组建及管理，6.56%认为是公司财务税务管理，1.64%认为是产品与服务研发，1.64%认为是产品与服务营销，27.87%认为是风险控制。</w:t>
      </w:r>
    </w:p>
    <w:p>
      <w:pPr>
        <w:jc w:val="center"/>
      </w:pPr>
      <w:r>
        <w:drawing>
          <wp:inline distT="0" distB="0" distL="114300" distR="114300">
            <wp:extent cx="5571490" cy="2482850"/>
            <wp:effectExtent l="4445" t="4445" r="5715" b="8255"/>
            <wp:docPr id="16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图4-24 抽样调查的2017届毕业生创业过程中遇到的最难问题</w:t>
      </w:r>
    </w:p>
    <w:p>
      <w:pPr>
        <w:pStyle w:val="2"/>
        <w:pageBreakBefore/>
        <w:spacing w:before="460" w:after="460" w:line="312" w:lineRule="auto"/>
        <w:jc w:val="center"/>
        <w:rPr>
          <w:rFonts w:ascii="Times New Roman" w:hAnsi="Times New Roman" w:eastAsia="黑体" w:cs="Times New Roman"/>
          <w:bCs w:val="0"/>
          <w:szCs w:val="36"/>
        </w:rPr>
      </w:pPr>
      <w:r>
        <w:rPr>
          <w:rFonts w:hint="eastAsia" w:ascii="Times New Roman" w:hAnsi="Times New Roman" w:eastAsia="黑体" w:cs="Times New Roman"/>
          <w:bCs w:val="0"/>
          <w:szCs w:val="36"/>
        </w:rPr>
        <w:t xml:space="preserve"> </w:t>
      </w:r>
      <w:bookmarkStart w:id="443" w:name="_Toc501407904"/>
      <w:bookmarkStart w:id="444" w:name="_Toc5918"/>
      <w:bookmarkStart w:id="445" w:name="_Toc408176327"/>
      <w:r>
        <w:rPr>
          <w:rFonts w:hint="eastAsia" w:ascii="Times New Roman" w:hAnsi="Times New Roman" w:eastAsia="黑体" w:cs="Times New Roman"/>
          <w:bCs w:val="0"/>
          <w:szCs w:val="36"/>
        </w:rPr>
        <w:t>第五章 用人单位的评价与反馈</w:t>
      </w:r>
      <w:bookmarkEnd w:id="443"/>
      <w:bookmarkEnd w:id="444"/>
      <w:bookmarkEnd w:id="445"/>
    </w:p>
    <w:p>
      <w:pPr>
        <w:autoSpaceDE w:val="0"/>
        <w:spacing w:line="360" w:lineRule="auto"/>
        <w:ind w:firstLine="480" w:firstLineChars="200"/>
        <w:rPr>
          <w:rFonts w:ascii="Times New Roman" w:hAnsi="Times New Roman" w:eastAsia="宋体" w:cs="Times New Roman"/>
          <w:sz w:val="24"/>
          <w:szCs w:val="24"/>
        </w:rPr>
      </w:pPr>
      <w:bookmarkStart w:id="446" w:name="_Toc408176328"/>
      <w:bookmarkStart w:id="447" w:name="_Toc15044"/>
      <w:r>
        <w:rPr>
          <w:rFonts w:hint="eastAsia" w:ascii="Times New Roman" w:hAnsi="Times New Roman" w:eastAsia="宋体" w:cs="Times New Roman"/>
          <w:sz w:val="24"/>
          <w:szCs w:val="24"/>
        </w:rPr>
        <w:t>为充分了解2017届毕业生就业基本情况，学校对主要用人单位发放问卷进行了调查。通过对回收的问卷数据进行整理分析，了解到用人单位的基本信息及用人单位对学校2017届毕业生反馈情况。此次问卷调查所反馈的信息不仅为学校更好地推进教学改革、提高教学质量，从而提高人才的培养质量提供了很好的借鉴，同时也促进了毕业生就业指导与服务工作的不断改进。</w:t>
      </w:r>
    </w:p>
    <w:p>
      <w:pPr>
        <w:pStyle w:val="3"/>
        <w:autoSpaceDE w:val="0"/>
        <w:spacing w:line="312" w:lineRule="auto"/>
        <w:rPr>
          <w:rFonts w:ascii="Times New Roman" w:hAnsi="Times New Roman" w:eastAsia="黑体" w:cs="Times New Roman"/>
        </w:rPr>
      </w:pPr>
      <w:bookmarkStart w:id="448" w:name="_Toc501407905"/>
      <w:r>
        <w:rPr>
          <w:rFonts w:hint="eastAsia" w:ascii="Times New Roman" w:hAnsi="Times New Roman" w:eastAsia="黑体" w:cs="Times New Roman"/>
        </w:rPr>
        <w:t>一、用人单位基本信息</w:t>
      </w:r>
      <w:bookmarkEnd w:id="446"/>
      <w:bookmarkEnd w:id="447"/>
      <w:bookmarkEnd w:id="448"/>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根据调研反馈，从用人单位性质分布来看，“民营企业”所占比例最大，其次是“其他事业单位”；从用人单位规模分布来看，主要以中小型用人单位为主；从用人单位地域分布来看，主要以河北省内的用人单位为主，其次为河北省周边省市的用人单位，例如北京市、山东省、山西省、河南省等。</w:t>
      </w:r>
    </w:p>
    <w:p>
      <w:pPr>
        <w:pStyle w:val="3"/>
        <w:autoSpaceDE w:val="0"/>
        <w:spacing w:line="312" w:lineRule="auto"/>
        <w:rPr>
          <w:rFonts w:eastAsia="黑体"/>
          <w:bCs w:val="0"/>
          <w:sz w:val="28"/>
          <w:szCs w:val="28"/>
        </w:rPr>
      </w:pPr>
      <w:bookmarkStart w:id="449" w:name="_Toc501407906"/>
      <w:r>
        <w:rPr>
          <w:rFonts w:hint="eastAsia" w:ascii="Times New Roman" w:hAnsi="Times New Roman" w:eastAsia="黑体" w:cs="Times New Roman"/>
        </w:rPr>
        <w:t>二、用人单位对学校2017届毕业生的综合评价</w:t>
      </w:r>
      <w:bookmarkEnd w:id="449"/>
    </w:p>
    <w:p>
      <w:pPr>
        <w:pStyle w:val="33"/>
        <w:spacing w:before="180" w:after="180" w:afterLines="0" w:line="360" w:lineRule="auto"/>
        <w:ind w:firstLine="482" w:firstLineChars="200"/>
        <w:outlineLvl w:val="2"/>
        <w:rPr>
          <w:rFonts w:ascii="Times New Roman" w:hAnsi="Times New Roman" w:eastAsia="宋体"/>
          <w:sz w:val="24"/>
          <w:szCs w:val="24"/>
        </w:rPr>
      </w:pPr>
      <w:bookmarkStart w:id="450" w:name="_Toc501407907"/>
      <w:r>
        <w:rPr>
          <w:rFonts w:hint="eastAsia" w:ascii="Times New Roman" w:hAnsi="Times New Roman" w:eastAsia="宋体"/>
          <w:sz w:val="24"/>
          <w:szCs w:val="24"/>
        </w:rPr>
        <w:t>1．用人单位对学校2017届毕业生的认可度</w:t>
      </w:r>
      <w:bookmarkEnd w:id="450"/>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参与调查的用人单位中，有36.36%的用人单位对学校毕业生非常满意，有43.18%的用人单位对学校毕业生给予了满意的评价，不满意的只有0.76%。用人单位对毕业生总体满意度达到了79.54%，处于较高水平，说明学校毕业生是能够达到用人单位的工作要求，职业胜任能力较强。</w:t>
      </w:r>
    </w:p>
    <w:p>
      <w:pPr>
        <w:autoSpaceDE w:val="0"/>
        <w:spacing w:line="360" w:lineRule="auto"/>
        <w:ind w:firstLine="420" w:firstLineChars="200"/>
        <w:jc w:val="center"/>
        <w:rPr>
          <w:rFonts w:ascii="Times New Roman" w:hAnsi="Times New Roman" w:eastAsia="宋体" w:cs="Times New Roman"/>
          <w:sz w:val="24"/>
          <w:szCs w:val="24"/>
        </w:rPr>
      </w:pPr>
      <w:r>
        <w:drawing>
          <wp:inline distT="0" distB="0" distL="114300" distR="114300">
            <wp:extent cx="4267200" cy="1390650"/>
            <wp:effectExtent l="0" t="0" r="19050" b="19050"/>
            <wp:docPr id="16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图5-1 用人单位对学校2017届毕业生的认可度</w:t>
      </w:r>
    </w:p>
    <w:p>
      <w:pPr>
        <w:pStyle w:val="33"/>
        <w:spacing w:before="180" w:after="180" w:afterLines="0" w:line="360" w:lineRule="auto"/>
        <w:ind w:firstLine="482" w:firstLineChars="200"/>
        <w:outlineLvl w:val="2"/>
        <w:rPr>
          <w:rFonts w:ascii="Times New Roman" w:hAnsi="Times New Roman" w:eastAsia="宋体"/>
          <w:sz w:val="24"/>
          <w:szCs w:val="24"/>
        </w:rPr>
      </w:pPr>
      <w:bookmarkStart w:id="451" w:name="_Toc501407908"/>
      <w:r>
        <w:rPr>
          <w:rFonts w:hint="eastAsia" w:ascii="Times New Roman" w:hAnsi="Times New Roman" w:eastAsia="宋体"/>
          <w:sz w:val="24"/>
          <w:szCs w:val="24"/>
        </w:rPr>
        <w:t>2．用人单位对学校毕业生职业素质的评价</w:t>
      </w:r>
      <w:bookmarkEnd w:id="451"/>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此表为投票方式选取的结果，投票票数最多的为用人单位满意度最高的。排名前三位的是：人际沟通能力、学习能力、团队协作能力；排名后三位的是：信息感知能力、文字表达能力、时间管理能力。</w:t>
      </w:r>
    </w:p>
    <w:p>
      <w:pPr>
        <w:autoSpaceDE w:val="0"/>
        <w:spacing w:line="360" w:lineRule="auto"/>
        <w:ind w:firstLine="420" w:firstLineChars="200"/>
        <w:jc w:val="center"/>
        <w:rPr>
          <w:rFonts w:ascii="Times New Roman" w:hAnsi="Times New Roman" w:eastAsia="宋体" w:cs="Times New Roman"/>
          <w:sz w:val="24"/>
          <w:szCs w:val="24"/>
        </w:rPr>
      </w:pPr>
      <w:r>
        <w:drawing>
          <wp:inline distT="0" distB="0" distL="114300" distR="114300">
            <wp:extent cx="4869815" cy="2467610"/>
            <wp:effectExtent l="4445" t="4445" r="21590" b="23495"/>
            <wp:docPr id="168"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图5-2 用人单位对学校2017届毕业生职业素质的评价</w:t>
      </w:r>
    </w:p>
    <w:p>
      <w:pPr>
        <w:pStyle w:val="33"/>
        <w:spacing w:before="180" w:after="180" w:afterLines="0" w:line="360" w:lineRule="auto"/>
        <w:ind w:firstLine="482" w:firstLineChars="200"/>
        <w:outlineLvl w:val="2"/>
        <w:rPr>
          <w:rFonts w:ascii="Times New Roman" w:hAnsi="Times New Roman" w:eastAsia="宋体"/>
          <w:sz w:val="24"/>
          <w:szCs w:val="24"/>
        </w:rPr>
      </w:pPr>
      <w:bookmarkStart w:id="452" w:name="_Toc501407909"/>
      <w:r>
        <w:rPr>
          <w:rFonts w:hint="eastAsia" w:ascii="Times New Roman" w:hAnsi="Times New Roman" w:eastAsia="宋体"/>
          <w:sz w:val="24"/>
          <w:szCs w:val="24"/>
        </w:rPr>
        <w:t>3．用人单位认为学校毕业生需要提高的能力</w:t>
      </w:r>
      <w:bookmarkEnd w:id="452"/>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此表为投票方式选取的结果，投票票数最多的为用人单位需求最高的。排名前三位的是：强化专业实践环节，增加学生实践能力、加强基础知识的培养，拓宽学生的知识面、加强学生应用能力的培养。</w:t>
      </w:r>
    </w:p>
    <w:p>
      <w:pPr>
        <w:autoSpaceDE w:val="0"/>
        <w:spacing w:line="360" w:lineRule="auto"/>
        <w:ind w:firstLine="420" w:firstLineChars="200"/>
        <w:jc w:val="center"/>
      </w:pPr>
      <w:r>
        <w:drawing>
          <wp:inline distT="0" distB="0" distL="114300" distR="114300">
            <wp:extent cx="4641850" cy="2285365"/>
            <wp:effectExtent l="4445" t="4445" r="20955" b="15240"/>
            <wp:docPr id="51" name="图表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autoSpaceDE w:val="0"/>
        <w:spacing w:before="156" w:beforeLines="50" w:after="156" w:afterLines="50" w:line="312" w:lineRule="auto"/>
        <w:jc w:val="center"/>
        <w:rPr>
          <w:rFonts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图5-3 用人单位认为学校毕业生需要提高的能力</w:t>
      </w:r>
    </w:p>
    <w:p>
      <w:pPr>
        <w:pStyle w:val="3"/>
        <w:autoSpaceDE w:val="0"/>
        <w:spacing w:line="312" w:lineRule="auto"/>
        <w:rPr>
          <w:rFonts w:ascii="Times New Roman" w:hAnsi="Times New Roman" w:eastAsia="黑体" w:cs="Times New Roman"/>
        </w:rPr>
      </w:pPr>
      <w:bookmarkStart w:id="453" w:name="_Toc2119"/>
      <w:bookmarkStart w:id="454" w:name="_Toc408176331"/>
      <w:bookmarkStart w:id="455" w:name="_Toc501407910"/>
      <w:r>
        <w:rPr>
          <w:rFonts w:hint="eastAsia" w:ascii="Times New Roman" w:hAnsi="Times New Roman" w:eastAsia="黑体" w:cs="Times New Roman"/>
        </w:rPr>
        <w:t>三、问卷调查对毕业生工作的启示</w:t>
      </w:r>
      <w:bookmarkEnd w:id="453"/>
      <w:bookmarkEnd w:id="454"/>
      <w:bookmarkEnd w:id="455"/>
    </w:p>
    <w:p>
      <w:pPr>
        <w:autoSpaceDE w:val="0"/>
        <w:spacing w:line="360" w:lineRule="auto"/>
        <w:ind w:firstLine="480" w:firstLineChars="200"/>
        <w:rPr>
          <w:rFonts w:ascii="Times New Roman" w:hAnsi="Times New Roman" w:eastAsia="宋体" w:cs="Times New Roman"/>
          <w:sz w:val="24"/>
          <w:szCs w:val="24"/>
        </w:rPr>
      </w:pPr>
      <w:bookmarkStart w:id="456" w:name="_Toc408176334"/>
      <w:bookmarkStart w:id="457" w:name="_Toc430099554"/>
      <w:bookmarkStart w:id="458" w:name="_Toc429218661"/>
      <w:bookmarkStart w:id="459" w:name="_Toc15017"/>
      <w:r>
        <w:rPr>
          <w:rFonts w:hint="eastAsia" w:ascii="Times New Roman" w:hAnsi="Times New Roman" w:eastAsia="宋体" w:cs="Times New Roman"/>
          <w:sz w:val="24"/>
          <w:szCs w:val="24"/>
        </w:rPr>
        <w:t>针对调查报告中用人单位对学校毕业生工作的反馈，特提出以下几点改进建议。</w:t>
      </w:r>
    </w:p>
    <w:p>
      <w:pPr>
        <w:pStyle w:val="33"/>
        <w:spacing w:before="180" w:after="180" w:afterLines="0" w:line="360" w:lineRule="auto"/>
        <w:ind w:firstLine="482" w:firstLineChars="200"/>
        <w:outlineLvl w:val="2"/>
        <w:rPr>
          <w:rFonts w:ascii="Times New Roman" w:hAnsi="Times New Roman" w:eastAsia="宋体"/>
          <w:sz w:val="24"/>
          <w:szCs w:val="24"/>
        </w:rPr>
      </w:pPr>
      <w:bookmarkStart w:id="460" w:name="_Toc501407911"/>
      <w:r>
        <w:rPr>
          <w:rFonts w:hint="eastAsia" w:ascii="Times New Roman" w:hAnsi="Times New Roman" w:eastAsia="宋体"/>
          <w:sz w:val="24"/>
          <w:szCs w:val="24"/>
        </w:rPr>
        <w:t>1</w:t>
      </w:r>
      <w:bookmarkEnd w:id="456"/>
      <w:r>
        <w:rPr>
          <w:rFonts w:hint="eastAsia" w:ascii="Times New Roman" w:hAnsi="Times New Roman" w:eastAsia="宋体"/>
          <w:sz w:val="24"/>
          <w:szCs w:val="24"/>
        </w:rPr>
        <w:t>．强化就业服务意识，</w:t>
      </w:r>
      <w:bookmarkEnd w:id="457"/>
      <w:bookmarkEnd w:id="458"/>
      <w:bookmarkEnd w:id="459"/>
      <w:r>
        <w:rPr>
          <w:rFonts w:hint="eastAsia" w:ascii="Times New Roman" w:hAnsi="Times New Roman" w:eastAsia="宋体"/>
          <w:sz w:val="24"/>
          <w:szCs w:val="24"/>
        </w:rPr>
        <w:t>完善就业服务体系</w:t>
      </w:r>
      <w:bookmarkEnd w:id="460"/>
    </w:p>
    <w:p>
      <w:pPr>
        <w:autoSpaceDE w:val="0"/>
        <w:spacing w:line="360" w:lineRule="auto"/>
        <w:ind w:firstLine="480" w:firstLineChars="200"/>
        <w:rPr>
          <w:rFonts w:ascii="Times New Roman" w:hAnsi="Times New Roman" w:eastAsia="宋体" w:cs="Times New Roman"/>
          <w:sz w:val="24"/>
          <w:szCs w:val="24"/>
        </w:rPr>
      </w:pPr>
      <w:bookmarkStart w:id="461" w:name="_Toc408176335"/>
      <w:bookmarkStart w:id="462" w:name="_Toc25506"/>
      <w:bookmarkStart w:id="463" w:name="_Toc429218662"/>
      <w:bookmarkStart w:id="464" w:name="_Toc430099555"/>
      <w:r>
        <w:rPr>
          <w:rFonts w:hint="eastAsia" w:ascii="Times New Roman" w:hAnsi="Times New Roman" w:eastAsia="宋体" w:cs="Times New Roman"/>
          <w:sz w:val="24"/>
          <w:szCs w:val="24"/>
        </w:rPr>
        <w:t>强化全校教职工的就业服务意识，真正地把就业工作列入学校重要工作日程中，形成学院、就业指导中心、各学院、毕业生四级就业服务体系，使就业工作常规化、制度化运作，构建一个全员共同参与、上下齐抓共管的就业服务体系。</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应着力提高就业服务水平，在组织招聘会组织、举办企业宣讲会等方面不断完善服务。例如，根据部分用人单位的反馈意见，在招聘旺季尽量缩短各分场招聘会之间的周期，方便用人单位和毕业生在集中的时间段内连续参加多场招聘会。</w:t>
      </w:r>
    </w:p>
    <w:p>
      <w:pPr>
        <w:pStyle w:val="33"/>
        <w:spacing w:before="180" w:after="180" w:afterLines="0" w:line="360" w:lineRule="auto"/>
        <w:ind w:firstLine="482" w:firstLineChars="200"/>
        <w:outlineLvl w:val="2"/>
        <w:rPr>
          <w:rFonts w:ascii="Times New Roman" w:hAnsi="Times New Roman" w:eastAsia="宋体"/>
          <w:sz w:val="24"/>
          <w:szCs w:val="24"/>
        </w:rPr>
      </w:pPr>
      <w:bookmarkStart w:id="465" w:name="_Toc501407912"/>
      <w:r>
        <w:rPr>
          <w:rFonts w:hint="eastAsia" w:ascii="Times New Roman" w:hAnsi="Times New Roman" w:eastAsia="宋体"/>
          <w:sz w:val="24"/>
          <w:szCs w:val="24"/>
        </w:rPr>
        <w:t>2</w:t>
      </w:r>
      <w:bookmarkEnd w:id="461"/>
      <w:r>
        <w:rPr>
          <w:rFonts w:hint="eastAsia" w:ascii="Times New Roman" w:hAnsi="Times New Roman" w:eastAsia="宋体"/>
          <w:sz w:val="24"/>
          <w:szCs w:val="24"/>
        </w:rPr>
        <w:t>．</w:t>
      </w:r>
      <w:bookmarkEnd w:id="462"/>
      <w:bookmarkEnd w:id="463"/>
      <w:bookmarkEnd w:id="464"/>
      <w:r>
        <w:rPr>
          <w:rFonts w:hint="eastAsia" w:ascii="Times New Roman" w:hAnsi="Times New Roman" w:eastAsia="宋体"/>
          <w:sz w:val="24"/>
          <w:szCs w:val="24"/>
        </w:rPr>
        <w:t>加强专兼职就业队伍建设，做好就业指导工作</w:t>
      </w:r>
      <w:bookmarkEnd w:id="465"/>
    </w:p>
    <w:p>
      <w:pPr>
        <w:autoSpaceDE w:val="0"/>
        <w:spacing w:line="360" w:lineRule="auto"/>
        <w:ind w:firstLine="480" w:firstLineChars="200"/>
        <w:rPr>
          <w:rFonts w:ascii="Times New Roman" w:hAnsi="Times New Roman" w:eastAsia="宋体" w:cs="Times New Roman"/>
          <w:sz w:val="24"/>
          <w:szCs w:val="24"/>
        </w:rPr>
      </w:pPr>
      <w:bookmarkStart w:id="466" w:name="_Toc408176336"/>
      <w:bookmarkStart w:id="467" w:name="_Toc430099556"/>
      <w:bookmarkStart w:id="468" w:name="_Toc429218663"/>
      <w:bookmarkStart w:id="469" w:name="_Toc7132"/>
      <w:r>
        <w:rPr>
          <w:rFonts w:hint="eastAsia" w:ascii="Times New Roman" w:hAnsi="Times New Roman" w:eastAsia="宋体" w:cs="Times New Roman"/>
          <w:sz w:val="24"/>
          <w:szCs w:val="24"/>
        </w:rPr>
        <w:t>提高本校辅导员老师的业务水平，争取让每个人成为就业方面的专家，注重工作中的创新，对学生进行专业的指导。组织学生参加各种招聘会，帮助其完善求职材料，加强对学生双向选择、签订协议书、毕业派遣、改派、档案、报到等相应环节的指导，同时要对学生进行必要的诚信教育及解决好学生的毁约等问题，确保与用人单位的长期稳定合作。做好应往届毕业生的就业咨询和相关服务工作，帮助他们解决在就业过程中遇到的困难，健全毕业生档案，做好毕业实习、毕业设计及毕业生的安全离校工作，确保服务质量和水平。</w:t>
      </w:r>
    </w:p>
    <w:p>
      <w:pPr>
        <w:pStyle w:val="33"/>
        <w:spacing w:before="180" w:after="180" w:afterLines="0" w:line="360" w:lineRule="auto"/>
        <w:ind w:firstLine="482" w:firstLineChars="200"/>
        <w:outlineLvl w:val="2"/>
        <w:rPr>
          <w:rFonts w:ascii="Times New Roman" w:hAnsi="Times New Roman" w:eastAsia="宋体"/>
          <w:sz w:val="24"/>
          <w:szCs w:val="24"/>
        </w:rPr>
      </w:pPr>
      <w:bookmarkStart w:id="470" w:name="_Toc501407913"/>
      <w:r>
        <w:rPr>
          <w:rFonts w:hint="eastAsia" w:ascii="Times New Roman" w:hAnsi="Times New Roman" w:eastAsia="宋体"/>
          <w:sz w:val="24"/>
          <w:szCs w:val="24"/>
        </w:rPr>
        <w:t>3．</w:t>
      </w:r>
      <w:bookmarkEnd w:id="466"/>
      <w:bookmarkEnd w:id="467"/>
      <w:bookmarkEnd w:id="468"/>
      <w:bookmarkEnd w:id="469"/>
      <w:r>
        <w:rPr>
          <w:rFonts w:hint="eastAsia" w:ascii="Times New Roman" w:hAnsi="Times New Roman" w:eastAsia="宋体"/>
          <w:sz w:val="24"/>
          <w:szCs w:val="24"/>
        </w:rPr>
        <w:t>加强毕业生择业意识培养，引导树立正确择业观</w:t>
      </w:r>
      <w:bookmarkEnd w:id="470"/>
    </w:p>
    <w:p>
      <w:pPr>
        <w:autoSpaceDE w:val="0"/>
        <w:spacing w:line="360" w:lineRule="auto"/>
        <w:ind w:firstLine="480" w:firstLineChars="200"/>
        <w:rPr>
          <w:rFonts w:ascii="Times New Roman" w:hAnsi="Times New Roman" w:eastAsia="宋体" w:cs="Times New Roman"/>
          <w:sz w:val="24"/>
          <w:szCs w:val="24"/>
        </w:rPr>
      </w:pPr>
      <w:bookmarkStart w:id="471" w:name="_Toc408176337"/>
      <w:bookmarkStart w:id="472" w:name="_Toc430099557"/>
      <w:bookmarkStart w:id="473" w:name="_Toc429218664"/>
      <w:bookmarkStart w:id="474" w:name="_Toc31145"/>
      <w:r>
        <w:rPr>
          <w:rFonts w:hint="eastAsia" w:ascii="Times New Roman" w:hAnsi="Times New Roman" w:eastAsia="宋体" w:cs="Times New Roman"/>
          <w:sz w:val="24"/>
          <w:szCs w:val="24"/>
        </w:rPr>
        <w:t>学校应根据部分用人单位的反馈意见，加强对毕业生职业意识的培养，提前做好职业定位，尽早对自己的职生涯做好长远规划，避免产生迷茫、短视的心理，从而出现“只关心薪水，不关心职业发展”的现象。学校要有针对性的做好就业辅导工作，引导毕业生更新就业观念，把握就业机遇，帮助他们走出误区，改变一次就业定终身的职业观念，把握“先就业再择业”的原则。引导毕业生调整就业心态，教育毕业生适当降低就业期望值，克服从众、攀比、依赖的心理，在求职中抓住机遇，树立正确的择业观。</w:t>
      </w:r>
    </w:p>
    <w:p>
      <w:pPr>
        <w:pStyle w:val="33"/>
        <w:spacing w:before="180" w:after="180" w:afterLines="0" w:line="360" w:lineRule="auto"/>
        <w:ind w:firstLine="482" w:firstLineChars="200"/>
        <w:outlineLvl w:val="2"/>
        <w:rPr>
          <w:rFonts w:ascii="Times New Roman" w:hAnsi="Times New Roman" w:eastAsia="宋体"/>
          <w:sz w:val="24"/>
          <w:szCs w:val="24"/>
        </w:rPr>
      </w:pPr>
      <w:bookmarkStart w:id="475" w:name="_Toc501407914"/>
      <w:r>
        <w:rPr>
          <w:rFonts w:hint="eastAsia" w:ascii="Times New Roman" w:hAnsi="Times New Roman" w:eastAsia="宋体"/>
          <w:sz w:val="24"/>
          <w:szCs w:val="24"/>
        </w:rPr>
        <w:t>4．</w:t>
      </w:r>
      <w:bookmarkEnd w:id="471"/>
      <w:r>
        <w:rPr>
          <w:rFonts w:hint="eastAsia" w:ascii="Times New Roman" w:hAnsi="Times New Roman" w:eastAsia="宋体"/>
          <w:sz w:val="24"/>
          <w:szCs w:val="24"/>
        </w:rPr>
        <w:t>加强就业市场建设，开辟新的就业途径</w:t>
      </w:r>
      <w:bookmarkEnd w:id="472"/>
      <w:bookmarkEnd w:id="473"/>
      <w:bookmarkEnd w:id="474"/>
      <w:bookmarkEnd w:id="475"/>
    </w:p>
    <w:p>
      <w:pPr>
        <w:autoSpaceDE w:val="0"/>
        <w:spacing w:line="360" w:lineRule="auto"/>
        <w:ind w:firstLine="480" w:firstLineChars="200"/>
        <w:rPr>
          <w:rFonts w:ascii="Times New Roman" w:hAnsi="Times New Roman" w:eastAsia="宋体" w:cs="Times New Roman"/>
          <w:sz w:val="24"/>
          <w:szCs w:val="24"/>
        </w:rPr>
      </w:pPr>
      <w:bookmarkStart w:id="476" w:name="_Toc408176338"/>
      <w:bookmarkStart w:id="477" w:name="_Toc429218665"/>
      <w:bookmarkStart w:id="478" w:name="_Toc430099558"/>
      <w:bookmarkStart w:id="479" w:name="_Toc11524"/>
      <w:r>
        <w:rPr>
          <w:rFonts w:hint="eastAsia" w:ascii="Times New Roman" w:hAnsi="Times New Roman" w:eastAsia="宋体" w:cs="Times New Roman"/>
          <w:sz w:val="24"/>
          <w:szCs w:val="24"/>
        </w:rPr>
        <w:t>与已就业的单位继续保持深度的合作和交流，通过往届毕业生的示范效应，带动现阶段毕业生就业，并适时的推荐学校毕业生，争取他们的更大支持，为毕业生就业、在校学生的实习基地的建设等做好相关准备工作。同时，不断努力开辟新的就业途径，建设新的就业市场，注重提高求职活动的延展性，学习其他传媒艺术类院校的做法，将影视表演、舞蹈表演等专业的求职活动延伸到实习实践环节，使学生在校学习实践期间就能接触到大量的用人单位、熟悉职业环境、适应职业要求，从而为毕业就业奠定牢固的基础。</w:t>
      </w:r>
    </w:p>
    <w:p>
      <w:pPr>
        <w:pStyle w:val="33"/>
        <w:spacing w:before="180" w:after="180" w:afterLines="0" w:line="360" w:lineRule="auto"/>
        <w:ind w:firstLine="482" w:firstLineChars="200"/>
        <w:outlineLvl w:val="2"/>
        <w:rPr>
          <w:rFonts w:ascii="Times New Roman" w:hAnsi="Times New Roman" w:eastAsia="宋体"/>
          <w:sz w:val="24"/>
          <w:szCs w:val="24"/>
        </w:rPr>
      </w:pPr>
      <w:bookmarkStart w:id="480" w:name="_Toc501407915"/>
      <w:r>
        <w:rPr>
          <w:rFonts w:hint="eastAsia" w:ascii="Times New Roman" w:hAnsi="Times New Roman" w:eastAsia="宋体"/>
          <w:sz w:val="24"/>
          <w:szCs w:val="24"/>
        </w:rPr>
        <w:t>5</w:t>
      </w:r>
      <w:bookmarkEnd w:id="476"/>
      <w:r>
        <w:rPr>
          <w:rFonts w:hint="eastAsia" w:ascii="Times New Roman" w:hAnsi="Times New Roman" w:eastAsia="宋体"/>
          <w:sz w:val="24"/>
          <w:szCs w:val="24"/>
        </w:rPr>
        <w:t>．鼓励毕业生多渠道就业，加强创业教育</w:t>
      </w:r>
      <w:bookmarkEnd w:id="477"/>
      <w:bookmarkEnd w:id="478"/>
      <w:bookmarkEnd w:id="479"/>
      <w:bookmarkEnd w:id="480"/>
    </w:p>
    <w:p>
      <w:pPr>
        <w:autoSpaceDE w:val="0"/>
        <w:spacing w:line="360" w:lineRule="auto"/>
        <w:ind w:firstLine="480" w:firstLineChars="200"/>
        <w:rPr>
          <w:rFonts w:ascii="Times New Roman" w:hAnsi="Times New Roman" w:eastAsia="宋体" w:cs="Times New Roman"/>
          <w:sz w:val="24"/>
          <w:szCs w:val="24"/>
        </w:rPr>
      </w:pPr>
      <w:bookmarkStart w:id="481" w:name="_Toc470620008"/>
      <w:bookmarkStart w:id="482" w:name="_Toc462761952"/>
      <w:r>
        <w:rPr>
          <w:rFonts w:hint="eastAsia" w:ascii="Times New Roman" w:hAnsi="Times New Roman" w:eastAsia="宋体" w:cs="Times New Roman"/>
          <w:sz w:val="24"/>
          <w:szCs w:val="24"/>
        </w:rPr>
        <w:t>鼓励毕业生多渠道就业，鼓励毕业生到基层就业，进一步加强对学生报考“大学生到村任职”、“西部志愿者”、“特岗教师”、参军入伍等基层就业项目的指导。教育毕业生辩证地看待就业环境这一问题，发达地区条件优越，但人才过剩，而欠发达地区条件虽差，但人才缺乏，个人发展机会较多，从而引导毕业生转变观念、调整预期。培养西班牙语、葡萄牙语等小语种专业毕业生树立到国际组织任职的意识，深化就业服务水平，把握就业机遇，增加交流生在交流国家任职的机会。加大对毕业生创业的指导力度，鼓励学生学以致用，把个人理想和现实结合起来，开辟创新创业的新天地，以创业有效带动就业。</w:t>
      </w:r>
    </w:p>
    <w:p>
      <w:pPr>
        <w:pStyle w:val="3"/>
        <w:autoSpaceDE w:val="0"/>
        <w:spacing w:line="312" w:lineRule="auto"/>
        <w:rPr>
          <w:rFonts w:ascii="Times New Roman" w:hAnsi="Times New Roman" w:eastAsia="黑体" w:cs="Times New Roman"/>
        </w:rPr>
      </w:pPr>
      <w:bookmarkStart w:id="483" w:name="_Toc501407916"/>
      <w:r>
        <w:rPr>
          <w:rFonts w:hint="eastAsia" w:ascii="Times New Roman" w:hAnsi="Times New Roman" w:eastAsia="黑体" w:cs="Times New Roman"/>
        </w:rPr>
        <w:t>四、专业预警及调控措施</w:t>
      </w:r>
      <w:bookmarkEnd w:id="481"/>
      <w:bookmarkEnd w:id="482"/>
      <w:bookmarkEnd w:id="483"/>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经统计分析，学校2017届毕业生各专业的就业情况如下：</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在本科专业中，有13个专业的就业率均达到了100%，分别是</w:t>
      </w:r>
      <w:r>
        <w:rPr>
          <w:rFonts w:ascii="Times New Roman" w:hAnsi="Times New Roman" w:eastAsia="宋体" w:cs="Times New Roman"/>
          <w:sz w:val="24"/>
          <w:szCs w:val="24"/>
        </w:rPr>
        <w:t>表演(播音与主持艺术)</w:t>
      </w:r>
      <w:r>
        <w:rPr>
          <w:rFonts w:hint="eastAsia" w:ascii="Times New Roman" w:hAnsi="Times New Roman" w:eastAsia="宋体" w:cs="Times New Roman"/>
          <w:sz w:val="24"/>
          <w:szCs w:val="24"/>
        </w:rPr>
        <w:t>、</w:t>
      </w:r>
      <w:r>
        <w:rPr>
          <w:rFonts w:ascii="Times New Roman" w:hAnsi="Times New Roman" w:eastAsia="宋体" w:cs="Times New Roman"/>
          <w:sz w:val="24"/>
          <w:szCs w:val="24"/>
        </w:rPr>
        <w:t>播音与主持艺术(英汉双语播音)</w:t>
      </w:r>
      <w:r>
        <w:rPr>
          <w:rFonts w:hint="eastAsia" w:ascii="Times New Roman" w:hAnsi="Times New Roman" w:eastAsia="宋体" w:cs="Times New Roman"/>
          <w:sz w:val="24"/>
          <w:szCs w:val="24"/>
        </w:rPr>
        <w:t>、</w:t>
      </w:r>
      <w:r>
        <w:rPr>
          <w:rFonts w:ascii="Times New Roman" w:hAnsi="Times New Roman" w:eastAsia="宋体" w:cs="Times New Roman"/>
          <w:sz w:val="24"/>
          <w:szCs w:val="24"/>
        </w:rPr>
        <w:t>录音艺术(播音方向)</w:t>
      </w:r>
      <w:r>
        <w:rPr>
          <w:rFonts w:hint="eastAsia" w:ascii="Times New Roman" w:hAnsi="Times New Roman" w:eastAsia="宋体" w:cs="Times New Roman"/>
          <w:sz w:val="24"/>
          <w:szCs w:val="24"/>
        </w:rPr>
        <w:t>、</w:t>
      </w:r>
      <w:r>
        <w:rPr>
          <w:rFonts w:ascii="Times New Roman" w:hAnsi="Times New Roman" w:eastAsia="宋体" w:cs="Times New Roman"/>
          <w:sz w:val="24"/>
          <w:szCs w:val="24"/>
        </w:rPr>
        <w:t>计算机科学与技术</w:t>
      </w:r>
      <w:r>
        <w:rPr>
          <w:rFonts w:hint="eastAsia" w:ascii="Times New Roman" w:hAnsi="Times New Roman" w:eastAsia="宋体" w:cs="Times New Roman"/>
          <w:sz w:val="24"/>
          <w:szCs w:val="24"/>
        </w:rPr>
        <w:t>、</w:t>
      </w:r>
      <w:r>
        <w:rPr>
          <w:rFonts w:ascii="Times New Roman" w:hAnsi="Times New Roman" w:eastAsia="宋体" w:cs="Times New Roman"/>
          <w:sz w:val="24"/>
          <w:szCs w:val="24"/>
        </w:rPr>
        <w:t>物联网工程</w:t>
      </w:r>
      <w:r>
        <w:rPr>
          <w:rFonts w:hint="eastAsia" w:ascii="Times New Roman" w:hAnsi="Times New Roman" w:eastAsia="宋体" w:cs="Times New Roman"/>
          <w:sz w:val="24"/>
          <w:szCs w:val="24"/>
        </w:rPr>
        <w:t>、</w:t>
      </w:r>
      <w:r>
        <w:rPr>
          <w:rFonts w:ascii="Times New Roman" w:hAnsi="Times New Roman" w:eastAsia="宋体" w:cs="Times New Roman"/>
          <w:sz w:val="24"/>
          <w:szCs w:val="24"/>
        </w:rPr>
        <w:t>广告学</w:t>
      </w:r>
      <w:r>
        <w:rPr>
          <w:rFonts w:hint="eastAsia" w:ascii="Times New Roman" w:hAnsi="Times New Roman" w:eastAsia="宋体" w:cs="Times New Roman"/>
          <w:sz w:val="24"/>
          <w:szCs w:val="24"/>
        </w:rPr>
        <w:t>、</w:t>
      </w:r>
      <w:r>
        <w:rPr>
          <w:rFonts w:ascii="Times New Roman" w:hAnsi="Times New Roman" w:eastAsia="宋体" w:cs="Times New Roman"/>
          <w:sz w:val="24"/>
          <w:szCs w:val="24"/>
        </w:rPr>
        <w:t>视觉传达设计</w:t>
      </w:r>
      <w:r>
        <w:rPr>
          <w:rFonts w:hint="eastAsia" w:ascii="Times New Roman" w:hAnsi="Times New Roman" w:eastAsia="宋体" w:cs="Times New Roman"/>
          <w:sz w:val="24"/>
          <w:szCs w:val="24"/>
        </w:rPr>
        <w:t>、</w:t>
      </w:r>
      <w:r>
        <w:rPr>
          <w:rFonts w:ascii="Times New Roman" w:hAnsi="Times New Roman" w:eastAsia="宋体" w:cs="Times New Roman"/>
          <w:sz w:val="24"/>
          <w:szCs w:val="24"/>
        </w:rPr>
        <w:t>戏剧影视美术设计</w:t>
      </w:r>
      <w:r>
        <w:rPr>
          <w:rFonts w:hint="eastAsia" w:ascii="Times New Roman" w:hAnsi="Times New Roman" w:eastAsia="宋体" w:cs="Times New Roman"/>
          <w:sz w:val="24"/>
          <w:szCs w:val="24"/>
        </w:rPr>
        <w:t>、</w:t>
      </w:r>
      <w:r>
        <w:rPr>
          <w:rFonts w:ascii="Times New Roman" w:hAnsi="Times New Roman" w:eastAsia="宋体" w:cs="Times New Roman"/>
          <w:sz w:val="24"/>
          <w:szCs w:val="24"/>
        </w:rPr>
        <w:t>艺术设计</w:t>
      </w:r>
      <w:r>
        <w:rPr>
          <w:rFonts w:hint="eastAsia" w:ascii="Times New Roman" w:hAnsi="Times New Roman" w:eastAsia="宋体" w:cs="Times New Roman"/>
          <w:sz w:val="24"/>
          <w:szCs w:val="24"/>
        </w:rPr>
        <w:t>、</w:t>
      </w:r>
      <w:r>
        <w:rPr>
          <w:rFonts w:ascii="Times New Roman" w:hAnsi="Times New Roman" w:eastAsia="宋体" w:cs="Times New Roman"/>
          <w:sz w:val="24"/>
          <w:szCs w:val="24"/>
        </w:rPr>
        <w:t>录音艺术</w:t>
      </w:r>
      <w:r>
        <w:rPr>
          <w:rFonts w:hint="eastAsia" w:ascii="Times New Roman" w:hAnsi="Times New Roman" w:eastAsia="宋体" w:cs="Times New Roman"/>
          <w:sz w:val="24"/>
          <w:szCs w:val="24"/>
        </w:rPr>
        <w:t>、</w:t>
      </w:r>
      <w:r>
        <w:rPr>
          <w:rFonts w:ascii="Times New Roman" w:hAnsi="Times New Roman" w:eastAsia="宋体" w:cs="Times New Roman"/>
          <w:sz w:val="24"/>
          <w:szCs w:val="24"/>
        </w:rPr>
        <w:t>数字媒体艺术</w:t>
      </w:r>
      <w:r>
        <w:rPr>
          <w:rFonts w:hint="eastAsia" w:ascii="Times New Roman" w:hAnsi="Times New Roman" w:eastAsia="宋体" w:cs="Times New Roman"/>
          <w:sz w:val="24"/>
          <w:szCs w:val="24"/>
        </w:rPr>
        <w:t>、</w:t>
      </w:r>
      <w:r>
        <w:rPr>
          <w:rFonts w:ascii="Times New Roman" w:hAnsi="Times New Roman" w:eastAsia="宋体" w:cs="Times New Roman"/>
          <w:sz w:val="24"/>
          <w:szCs w:val="24"/>
        </w:rPr>
        <w:t>戏剧影视文学</w:t>
      </w:r>
      <w:r>
        <w:rPr>
          <w:rFonts w:hint="eastAsia" w:ascii="Times New Roman" w:hAnsi="Times New Roman" w:eastAsia="宋体" w:cs="Times New Roman"/>
          <w:sz w:val="24"/>
          <w:szCs w:val="24"/>
        </w:rPr>
        <w:t>和</w:t>
      </w:r>
      <w:r>
        <w:rPr>
          <w:rFonts w:ascii="Times New Roman" w:hAnsi="Times New Roman" w:eastAsia="宋体" w:cs="Times New Roman"/>
          <w:sz w:val="24"/>
          <w:szCs w:val="24"/>
        </w:rPr>
        <w:t>照明艺术</w:t>
      </w:r>
      <w:r>
        <w:rPr>
          <w:rFonts w:hint="eastAsia" w:ascii="Times New Roman" w:hAnsi="Times New Roman" w:eastAsia="宋体" w:cs="Times New Roman"/>
          <w:sz w:val="24"/>
          <w:szCs w:val="24"/>
        </w:rPr>
        <w:t>等专业。</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本科专业中，就业率处于较低水平的有艺术体育学院的</w:t>
      </w:r>
      <w:r>
        <w:rPr>
          <w:rFonts w:ascii="Times New Roman" w:hAnsi="Times New Roman" w:eastAsia="宋体" w:cs="Times New Roman"/>
          <w:sz w:val="24"/>
          <w:szCs w:val="24"/>
        </w:rPr>
        <w:t>表演</w:t>
      </w:r>
      <w:r>
        <w:rPr>
          <w:rFonts w:hint="eastAsia" w:ascii="Times New Roman" w:hAnsi="Times New Roman" w:eastAsia="宋体" w:cs="Times New Roman"/>
          <w:sz w:val="24"/>
          <w:szCs w:val="24"/>
        </w:rPr>
        <w:t>专业（</w:t>
      </w:r>
      <w:r>
        <w:rPr>
          <w:rFonts w:ascii="Times New Roman" w:hAnsi="Times New Roman" w:eastAsia="宋体" w:cs="Times New Roman"/>
          <w:sz w:val="24"/>
          <w:szCs w:val="24"/>
        </w:rPr>
        <w:t>56.25</w:t>
      </w:r>
      <w:r>
        <w:rPr>
          <w:rFonts w:hint="eastAsia" w:ascii="Times New Roman" w:hAnsi="Times New Roman" w:eastAsia="宋体" w:cs="Times New Roman"/>
          <w:sz w:val="24"/>
          <w:szCs w:val="24"/>
        </w:rPr>
        <w:t>%）和</w:t>
      </w:r>
      <w:r>
        <w:rPr>
          <w:rFonts w:ascii="Times New Roman" w:hAnsi="Times New Roman" w:eastAsia="宋体" w:cs="Times New Roman"/>
          <w:sz w:val="24"/>
          <w:szCs w:val="24"/>
        </w:rPr>
        <w:t>休闲体育</w:t>
      </w:r>
      <w:r>
        <w:rPr>
          <w:rFonts w:hint="eastAsia" w:ascii="Times New Roman" w:hAnsi="Times New Roman" w:eastAsia="宋体" w:cs="Times New Roman"/>
          <w:sz w:val="24"/>
          <w:szCs w:val="24"/>
        </w:rPr>
        <w:t>专业（</w:t>
      </w:r>
      <w:r>
        <w:rPr>
          <w:rFonts w:ascii="Times New Roman" w:hAnsi="Times New Roman" w:eastAsia="宋体" w:cs="Times New Roman"/>
          <w:sz w:val="24"/>
          <w:szCs w:val="24"/>
        </w:rPr>
        <w:t>18.52%</w:t>
      </w:r>
      <w:r>
        <w:rPr>
          <w:rFonts w:hint="eastAsia" w:ascii="Times New Roman" w:hAnsi="Times New Roman" w:eastAsia="宋体" w:cs="Times New Roman"/>
          <w:sz w:val="24"/>
          <w:szCs w:val="24"/>
        </w:rPr>
        <w:t>）。</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在专科专业中，有6个专业的就业率达到了100%，分别是</w:t>
      </w:r>
      <w:r>
        <w:rPr>
          <w:rFonts w:ascii="Times New Roman" w:hAnsi="Times New Roman" w:eastAsia="宋体" w:cs="Times New Roman"/>
          <w:sz w:val="24"/>
          <w:szCs w:val="24"/>
        </w:rPr>
        <w:t>影视动画</w:t>
      </w:r>
      <w:r>
        <w:rPr>
          <w:rFonts w:hint="eastAsia" w:ascii="Times New Roman" w:hAnsi="Times New Roman" w:eastAsia="宋体" w:cs="Times New Roman"/>
          <w:sz w:val="24"/>
          <w:szCs w:val="24"/>
        </w:rPr>
        <w:t>、</w:t>
      </w:r>
      <w:r>
        <w:rPr>
          <w:rFonts w:ascii="Times New Roman" w:hAnsi="Times New Roman" w:eastAsia="宋体" w:cs="Times New Roman"/>
          <w:sz w:val="24"/>
          <w:szCs w:val="24"/>
        </w:rPr>
        <w:t>新闻采编与制作</w:t>
      </w:r>
      <w:r>
        <w:rPr>
          <w:rFonts w:hint="eastAsia" w:ascii="Times New Roman" w:hAnsi="Times New Roman" w:eastAsia="宋体" w:cs="Times New Roman"/>
          <w:sz w:val="24"/>
          <w:szCs w:val="24"/>
        </w:rPr>
        <w:t>、</w:t>
      </w:r>
      <w:r>
        <w:rPr>
          <w:rFonts w:ascii="Times New Roman" w:hAnsi="Times New Roman" w:eastAsia="宋体" w:cs="Times New Roman"/>
          <w:sz w:val="24"/>
          <w:szCs w:val="24"/>
        </w:rPr>
        <w:t>影视多媒体技术</w:t>
      </w:r>
      <w:r>
        <w:rPr>
          <w:rFonts w:hint="eastAsia" w:ascii="Times New Roman" w:hAnsi="Times New Roman" w:eastAsia="宋体" w:cs="Times New Roman"/>
          <w:sz w:val="24"/>
          <w:szCs w:val="24"/>
        </w:rPr>
        <w:t>、</w:t>
      </w:r>
      <w:r>
        <w:rPr>
          <w:rFonts w:ascii="Times New Roman" w:hAnsi="Times New Roman" w:eastAsia="宋体" w:cs="Times New Roman"/>
          <w:sz w:val="24"/>
          <w:szCs w:val="24"/>
        </w:rPr>
        <w:t>人物形象设计</w:t>
      </w:r>
      <w:r>
        <w:rPr>
          <w:rFonts w:hint="eastAsia" w:ascii="Times New Roman" w:hAnsi="Times New Roman" w:eastAsia="宋体" w:cs="Times New Roman"/>
          <w:sz w:val="24"/>
          <w:szCs w:val="24"/>
        </w:rPr>
        <w:t>和</w:t>
      </w:r>
      <w:r>
        <w:rPr>
          <w:rFonts w:ascii="Times New Roman" w:hAnsi="Times New Roman" w:eastAsia="宋体" w:cs="Times New Roman"/>
          <w:sz w:val="24"/>
          <w:szCs w:val="24"/>
        </w:rPr>
        <w:t>电视节目制作</w:t>
      </w:r>
      <w:r>
        <w:rPr>
          <w:rFonts w:hint="eastAsia" w:ascii="Times New Roman" w:hAnsi="Times New Roman" w:eastAsia="宋体" w:cs="Times New Roman"/>
          <w:sz w:val="24"/>
          <w:szCs w:val="24"/>
        </w:rPr>
        <w:t>等专业。</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专科专业中，就业率处于较低水平的有编导（</w:t>
      </w:r>
      <w:r>
        <w:rPr>
          <w:rFonts w:ascii="Times New Roman" w:hAnsi="Times New Roman" w:eastAsia="宋体" w:cs="Times New Roman"/>
          <w:sz w:val="24"/>
          <w:szCs w:val="24"/>
        </w:rPr>
        <w:t>62.50%</w:t>
      </w:r>
      <w:r>
        <w:rPr>
          <w:rFonts w:hint="eastAsia" w:ascii="Times New Roman" w:hAnsi="Times New Roman" w:eastAsia="宋体" w:cs="Times New Roman"/>
          <w:sz w:val="24"/>
          <w:szCs w:val="24"/>
        </w:rPr>
        <w:t>）、社会体育（</w:t>
      </w:r>
      <w:r>
        <w:rPr>
          <w:rFonts w:ascii="Times New Roman" w:hAnsi="Times New Roman" w:eastAsia="宋体" w:cs="Times New Roman"/>
          <w:sz w:val="24"/>
          <w:szCs w:val="24"/>
        </w:rPr>
        <w:t>33.33%</w:t>
      </w:r>
      <w:r>
        <w:rPr>
          <w:rFonts w:hint="eastAsia" w:ascii="Times New Roman" w:hAnsi="Times New Roman" w:eastAsia="宋体" w:cs="Times New Roman"/>
          <w:sz w:val="24"/>
          <w:szCs w:val="24"/>
        </w:rPr>
        <w:t>）和</w:t>
      </w:r>
      <w:r>
        <w:rPr>
          <w:rFonts w:ascii="Times New Roman" w:hAnsi="Times New Roman" w:eastAsia="宋体" w:cs="Times New Roman"/>
          <w:sz w:val="24"/>
          <w:szCs w:val="24"/>
        </w:rPr>
        <w:t>音乐表演</w:t>
      </w:r>
      <w:r>
        <w:rPr>
          <w:rFonts w:hint="eastAsia" w:ascii="Times New Roman" w:hAnsi="Times New Roman" w:eastAsia="宋体" w:cs="Times New Roman"/>
          <w:sz w:val="24"/>
          <w:szCs w:val="24"/>
        </w:rPr>
        <w:t>（</w:t>
      </w:r>
      <w:r>
        <w:rPr>
          <w:rFonts w:ascii="Times New Roman" w:hAnsi="Times New Roman" w:eastAsia="宋体" w:cs="Times New Roman"/>
          <w:sz w:val="24"/>
          <w:szCs w:val="24"/>
        </w:rPr>
        <w:t>25.00%</w:t>
      </w:r>
      <w:r>
        <w:rPr>
          <w:rFonts w:hint="eastAsia" w:ascii="Times New Roman" w:hAnsi="Times New Roman" w:eastAsia="宋体" w:cs="Times New Roman"/>
          <w:sz w:val="24"/>
          <w:szCs w:val="24"/>
        </w:rPr>
        <w:t>）等专业。</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就业率和就业质量能相对直观地反映出专业的社会需求和社会认可度，并且直接影响着专业填报的热度；专业满意度是衡量大学生人力资源开发与利用有效程度的重要指标，反映的是高校专业设置与社会需求的脱节及劳动力市场的供需差异。因此，建议学校采取以下调控措施。</w:t>
      </w:r>
    </w:p>
    <w:p>
      <w:pPr>
        <w:pStyle w:val="33"/>
        <w:spacing w:before="180" w:after="180" w:afterLines="0" w:line="360" w:lineRule="auto"/>
        <w:ind w:firstLine="482" w:firstLineChars="200"/>
        <w:outlineLvl w:val="2"/>
        <w:rPr>
          <w:rFonts w:ascii="Times New Roman" w:hAnsi="Times New Roman" w:eastAsia="宋体"/>
          <w:sz w:val="24"/>
          <w:szCs w:val="24"/>
        </w:rPr>
      </w:pPr>
      <w:bookmarkStart w:id="484" w:name="_Toc501407917"/>
      <w:r>
        <w:rPr>
          <w:rFonts w:hint="eastAsia" w:ascii="Times New Roman" w:hAnsi="Times New Roman" w:eastAsia="宋体"/>
          <w:sz w:val="24"/>
          <w:szCs w:val="24"/>
        </w:rPr>
        <w:t>1．健全就业统计、专业设置和监测管理机制</w:t>
      </w:r>
      <w:bookmarkEnd w:id="484"/>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应进一步健全就业统计、专业设置、专业建设和监测的管理机制，以社会需求为出发点，以就业率和就业评价为重要参考指标，充分调研就业市场，增强专业设置与社会需求的良性互动，形成招生、教学与就业三方联动发展的格局。</w:t>
      </w:r>
    </w:p>
    <w:p>
      <w:pPr>
        <w:pStyle w:val="33"/>
        <w:spacing w:before="180" w:after="180" w:afterLines="0" w:line="360" w:lineRule="auto"/>
        <w:ind w:firstLine="482" w:firstLineChars="200"/>
        <w:outlineLvl w:val="2"/>
        <w:rPr>
          <w:rFonts w:ascii="Times New Roman" w:hAnsi="Times New Roman" w:eastAsia="宋体"/>
          <w:sz w:val="24"/>
          <w:szCs w:val="24"/>
        </w:rPr>
      </w:pPr>
      <w:bookmarkStart w:id="485" w:name="_Toc501407918"/>
      <w:r>
        <w:rPr>
          <w:rFonts w:hint="eastAsia" w:ascii="Times New Roman" w:hAnsi="Times New Roman" w:eastAsia="宋体"/>
          <w:sz w:val="24"/>
          <w:szCs w:val="24"/>
        </w:rPr>
        <w:t>2．调整专业招生规模、专业结构和优化专业设置</w:t>
      </w:r>
      <w:bookmarkEnd w:id="485"/>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可结合各专业的就业率及就业状况、未来的发展空间和社会需求情况，可通过采取调整专业的招生规模、专业结构或者优化专业设置的措施，对部分就业率偏低或者就业状况不佳的专业做出相应调整。在制定下年度的招生计划时，有针对性地缩减部分专业的招生计划，增加就业状况良好专业的招生规模；同时调整专业结构和优化专业设置，鼓励专业之间的交叉融合，使人才培养能够较好地满足用人单位的需求。</w:t>
      </w:r>
    </w:p>
    <w:p>
      <w:pPr>
        <w:pStyle w:val="33"/>
        <w:spacing w:before="180" w:after="180" w:afterLines="0" w:line="360" w:lineRule="auto"/>
        <w:ind w:firstLine="482" w:firstLineChars="200"/>
        <w:outlineLvl w:val="2"/>
        <w:rPr>
          <w:rFonts w:ascii="Times New Roman" w:hAnsi="Times New Roman" w:eastAsia="宋体"/>
          <w:sz w:val="24"/>
          <w:szCs w:val="24"/>
        </w:rPr>
      </w:pPr>
      <w:bookmarkStart w:id="486" w:name="_Toc501407919"/>
      <w:r>
        <w:rPr>
          <w:rFonts w:hint="eastAsia" w:ascii="Times New Roman" w:hAnsi="Times New Roman" w:eastAsia="宋体"/>
          <w:sz w:val="24"/>
          <w:szCs w:val="24"/>
        </w:rPr>
        <w:t>3．优化人才培养方案，提高教育教学水平</w:t>
      </w:r>
      <w:bookmarkEnd w:id="486"/>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要根据学生和用人单位对学校专业课程设置和教育教学的评价等内容的反馈，分析学校的教育教学环境和教学条件等，根据市场需求和职业要求，不断探索人才培养模式，整合各种办学资源，完善学校的管理方式、提高教学水平及服务水平，优化人才培养方案，及时跟进教学改革，调整课程设置，使专业教育和市场需求同步接轨，培养适销对路的专业人才。</w:t>
      </w:r>
    </w:p>
    <w:p>
      <w:pPr>
        <w:autoSpaceDE w:val="0"/>
        <w:spacing w:line="360" w:lineRule="auto"/>
        <w:ind w:firstLine="480" w:firstLineChars="200"/>
        <w:rPr>
          <w:rFonts w:ascii="Times New Roman" w:hAnsi="Times New Roman" w:eastAsia="宋体" w:cs="Times New Roman"/>
          <w:sz w:val="24"/>
          <w:szCs w:val="24"/>
        </w:rPr>
      </w:pPr>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 w:name="PMingLiU">
    <w:panose1 w:val="02020500000000000000"/>
    <w:charset w:val="88"/>
    <w:family w:val="auto"/>
    <w:pitch w:val="default"/>
    <w:sig w:usb0="A00002FF" w:usb1="28CFFCFA" w:usb2="00000016" w:usb3="00000000" w:csb0="00100001" w:csb1="00000000"/>
  </w:font>
  <w:font w:name="Microsoft YaHei UI">
    <w:altName w:val="宋体"/>
    <w:panose1 w:val="020B0503020204020204"/>
    <w:charset w:val="86"/>
    <w:family w:val="swiss"/>
    <w:pitch w:val="default"/>
    <w:sig w:usb0="00000000" w:usb1="00000000" w:usb2="00000016" w:usb3="00000000" w:csb0="0004001F" w:csb1="00000000"/>
  </w:font>
  <w:font w:name="ˎ̥">
    <w:altName w:val="Times New Roman"/>
    <w:panose1 w:val="00000000000000000000"/>
    <w:charset w:val="00"/>
    <w:family w:val="roma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MingLiU-ExtB">
    <w:panose1 w:val="02020500000000000000"/>
    <w:charset w:val="88"/>
    <w:family w:val="auto"/>
    <w:pitch w:val="default"/>
    <w:sig w:usb0="8000002F" w:usb1="02000008" w:usb2="00000000" w:usb3="00000000" w:csb0="00100001" w:csb1="00000000"/>
  </w:font>
  <w:font w:name="Aharoni">
    <w:panose1 w:val="02010803020104030203"/>
    <w:charset w:val="00"/>
    <w:family w:val="auto"/>
    <w:pitch w:val="default"/>
    <w:sig w:usb0="00000801" w:usb1="00000000" w:usb2="00000000" w:usb3="00000000" w:csb0="00000020" w:csb1="00200000"/>
  </w:font>
  <w:font w:name="Angsana New">
    <w:panose1 w:val="02020603050405020304"/>
    <w:charset w:val="00"/>
    <w:family w:val="auto"/>
    <w:pitch w:val="default"/>
    <w:sig w:usb0="81000003" w:usb1="00000000" w:usb2="00000000" w:usb3="00000000" w:csb0="00010001" w:csb1="00000000"/>
  </w:font>
  <w:font w:name="Consolas">
    <w:panose1 w:val="020B0609020204030204"/>
    <w:charset w:val="00"/>
    <w:family w:val="auto"/>
    <w:pitch w:val="default"/>
    <w:sig w:usb0="E10002FF" w:usb1="4000FCFF" w:usb2="00000009" w:usb3="00000000" w:csb0="6000019F" w:csb1="DFD70000"/>
  </w:font>
  <w:font w:name="David">
    <w:panose1 w:val="020E0502060401010101"/>
    <w:charset w:val="00"/>
    <w:family w:val="auto"/>
    <w:pitch w:val="default"/>
    <w:sig w:usb0="00000801" w:usb1="00000000" w:usb2="00000000" w:usb3="00000000" w:csb0="00000020" w:csb1="00200000"/>
  </w:font>
  <w:font w:name="Eras Demi ITC">
    <w:panose1 w:val="020B0805030504020804"/>
    <w:charset w:val="00"/>
    <w:family w:val="auto"/>
    <w:pitch w:val="default"/>
    <w:sig w:usb0="00000003" w:usb1="00000000" w:usb2="00000000" w:usb3="00000000" w:csb0="20000001" w:csb1="00000000"/>
  </w:font>
  <w:font w:name="Freestyle Script">
    <w:panose1 w:val="030804020302050B0404"/>
    <w:charset w:val="00"/>
    <w:family w:val="auto"/>
    <w:pitch w:val="default"/>
    <w:sig w:usb0="00000003" w:usb1="00000000" w:usb2="00000000" w:usb3="00000000" w:csb0="20000001" w:csb1="00000000"/>
  </w:font>
  <w:font w:name="French Script MT">
    <w:panose1 w:val="03020402040607040605"/>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Garamond">
    <w:panose1 w:val="02020404030301010803"/>
    <w:charset w:val="00"/>
    <w:family w:val="auto"/>
    <w:pitch w:val="default"/>
    <w:sig w:usb0="00000287" w:usb1="00000000" w:usb2="00000000" w:usb3="00000000" w:csb0="0000009F" w:csb1="DFD70000"/>
  </w:font>
  <w:font w:name="Gautami">
    <w:panose1 w:val="020B0502040204020203"/>
    <w:charset w:val="00"/>
    <w:family w:val="auto"/>
    <w:pitch w:val="default"/>
    <w:sig w:usb0="00200003"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Gigi">
    <w:panose1 w:val="04040504061007020D02"/>
    <w:charset w:val="00"/>
    <w:family w:val="auto"/>
    <w:pitch w:val="default"/>
    <w:sig w:usb0="00000003" w:usb1="00000000" w:usb2="00000000" w:usb3="00000000" w:csb0="20000001" w:csb1="00000000"/>
  </w:font>
  <w:font w:name="Gill Sans MT">
    <w:panose1 w:val="020B0502020104020203"/>
    <w:charset w:val="00"/>
    <w:family w:val="auto"/>
    <w:pitch w:val="default"/>
    <w:sig w:usb0="00000003" w:usb1="00000000" w:usb2="00000000" w:usb3="00000000" w:csb0="20000003" w:csb1="00000000"/>
  </w:font>
  <w:font w:name="Gill Sans MT Condensed">
    <w:panose1 w:val="020B0506020104020203"/>
    <w:charset w:val="00"/>
    <w:family w:val="auto"/>
    <w:pitch w:val="default"/>
    <w:sig w:usb0="00000003" w:usb1="00000000" w:usb2="00000000" w:usb3="00000000" w:csb0="20000003" w:csb1="00000000"/>
  </w:font>
  <w:font w:name="Gill Sans MT Ext Condensed Bold">
    <w:panose1 w:val="020B0902020104020203"/>
    <w:charset w:val="00"/>
    <w:family w:val="auto"/>
    <w:pitch w:val="default"/>
    <w:sig w:usb0="00000003" w:usb1="00000000" w:usb2="00000000" w:usb3="00000000" w:csb0="20000003" w:csb1="00000000"/>
  </w:font>
  <w:font w:name="Gill Sans Ultra Bold">
    <w:panose1 w:val="020B0A02020104020203"/>
    <w:charset w:val="00"/>
    <w:family w:val="auto"/>
    <w:pitch w:val="default"/>
    <w:sig w:usb0="00000003" w:usb1="00000000" w:usb2="00000000" w:usb3="00000000" w:csb0="20000003" w:csb1="00000000"/>
  </w:font>
  <w:font w:name="Gill Sans Ultra Bold Condensed">
    <w:panose1 w:val="020B0A06020104020203"/>
    <w:charset w:val="00"/>
    <w:family w:val="auto"/>
    <w:pitch w:val="default"/>
    <w:sig w:usb0="00000003" w:usb1="00000000" w:usb2="00000000" w:usb3="00000000" w:csb0="00000003" w:csb1="00000000"/>
  </w:font>
  <w:font w:name="Gisha">
    <w:panose1 w:val="020B0502040204020203"/>
    <w:charset w:val="00"/>
    <w:family w:val="auto"/>
    <w:pitch w:val="default"/>
    <w:sig w:usb0="80000807" w:usb1="40000042" w:usb2="00000000" w:usb3="00000000" w:csb0="00000021" w:csb1="00000000"/>
  </w:font>
  <w:font w:name="Gloucester MT Extra Condensed">
    <w:panose1 w:val="02030808020601010101"/>
    <w:charset w:val="00"/>
    <w:family w:val="auto"/>
    <w:pitch w:val="default"/>
    <w:sig w:usb0="00000003" w:usb1="00000000" w:usb2="00000000" w:usb3="00000000" w:csb0="20000001" w:csb1="00000000"/>
  </w:font>
  <w:font w:name="Harrington">
    <w:panose1 w:val="04040505050A02020702"/>
    <w:charset w:val="00"/>
    <w:family w:val="auto"/>
    <w:pitch w:val="default"/>
    <w:sig w:usb0="00000003" w:usb1="00000000" w:usb2="00000000" w:usb3="00000000" w:csb0="20000001" w:csb1="00000000"/>
  </w:font>
  <w:font w:name="Modern No. 20">
    <w:panose1 w:val="02070704070505020303"/>
    <w:charset w:val="00"/>
    <w:family w:val="auto"/>
    <w:pitch w:val="default"/>
    <w:sig w:usb0="00000003"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Monotype Corsiva">
    <w:panose1 w:val="03010101010201010101"/>
    <w:charset w:val="00"/>
    <w:family w:val="auto"/>
    <w:pitch w:val="default"/>
    <w:sig w:usb0="00000287" w:usb1="00000000" w:usb2="00000000" w:usb3="00000000" w:csb0="2000009F" w:csb1="DFD70000"/>
  </w:font>
  <w:font w:name="MoolBoran">
    <w:panose1 w:val="020B0100010101010101"/>
    <w:charset w:val="00"/>
    <w:family w:val="auto"/>
    <w:pitch w:val="default"/>
    <w:sig w:usb0="8000000F" w:usb1="0000204A" w:usb2="00010000" w:usb3="00000000" w:csb0="00000001" w:csb1="00000000"/>
  </w:font>
  <w:font w:name="MS Reference Specialty">
    <w:panose1 w:val="05000500000000000000"/>
    <w:charset w:val="00"/>
    <w:family w:val="auto"/>
    <w:pitch w:val="default"/>
    <w:sig w:usb0="00000000" w:usb1="00000000" w:usb2="00000000" w:usb3="00000000" w:csb0="80000000" w:csb1="00000000"/>
  </w:font>
  <w:font w:name="MS Reference Sans Serif">
    <w:panose1 w:val="020B0604030504040204"/>
    <w:charset w:val="00"/>
    <w:family w:val="auto"/>
    <w:pitch w:val="default"/>
    <w:sig w:usb0="00000287" w:usb1="00000000" w:usb2="00000000" w:usb3="00000000" w:csb0="2000019F" w:csb1="00000000"/>
  </w:font>
  <w:font w:name="MT Extra">
    <w:panose1 w:val="05050102010205020202"/>
    <w:charset w:val="00"/>
    <w:family w:val="auto"/>
    <w:pitch w:val="default"/>
    <w:sig w:usb0="80000000" w:usb1="00000000" w:usb2="00000000" w:usb3="00000000" w:csb0="00000000" w:csb1="00000000"/>
  </w:font>
  <w:font w:name="MV Boli">
    <w:panose1 w:val="02000500030200090000"/>
    <w:charset w:val="00"/>
    <w:family w:val="auto"/>
    <w:pitch w:val="default"/>
    <w:sig w:usb0="00000003" w:usb1="00000000" w:usb2="00000100" w:usb3="00000000" w:csb0="00000001" w:csb1="00000000"/>
  </w:font>
  <w:font w:name="Wingdings 3">
    <w:panose1 w:val="05040102010807070707"/>
    <w:charset w:val="00"/>
    <w:family w:val="auto"/>
    <w:pitch w:val="default"/>
    <w:sig w:usb0="00000000" w:usb1="00000000" w:usb2="00000000" w:usb3="00000000" w:csb0="8000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erlin Sans FB Demi">
    <w:panose1 w:val="020E0802020502020306"/>
    <w:charset w:val="00"/>
    <w:family w:val="auto"/>
    <w:pitch w:val="default"/>
    <w:sig w:usb0="00000003" w:usb1="00000000" w:usb2="00000000" w:usb3="00000000" w:csb0="20000001" w:csb1="00000000"/>
  </w:font>
  <w:font w:name="华文隶书">
    <w:panose1 w:val="02010800040101010101"/>
    <w:charset w:val="86"/>
    <w:family w:val="auto"/>
    <w:pitch w:val="default"/>
    <w:sig w:usb0="00000001" w:usb1="080F0000" w:usb2="00000000" w:usb3="00000000" w:csb0="00040000" w:csb1="00000000"/>
  </w:font>
  <w:font w:name="Sylfaen">
    <w:panose1 w:val="010A0502050306030303"/>
    <w:charset w:val="00"/>
    <w:family w:val="auto"/>
    <w:pitch w:val="default"/>
    <w:sig w:usb0="04000687" w:usb1="00000000" w:usb2="00000000" w:usb3="00000000" w:csb0="2000009F" w:csb1="00000000"/>
  </w:font>
  <w:font w:name="Miriam Fixed">
    <w:panose1 w:val="020B0509050101010101"/>
    <w:charset w:val="00"/>
    <w:family w:val="auto"/>
    <w:pitch w:val="default"/>
    <w:sig w:usb0="00000801" w:usb1="00000000" w:usb2="00000000" w:usb3="00000000" w:csb0="00000020" w:csb1="00200000"/>
  </w:font>
  <w:font w:name="Microsoft Yi Baiti">
    <w:panose1 w:val="03000500000000000000"/>
    <w:charset w:val="00"/>
    <w:family w:val="auto"/>
    <w:pitch w:val="default"/>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3243476"/>
      <w:docPartObj>
        <w:docPartGallery w:val="autotext"/>
      </w:docPartObj>
    </w:sdtPr>
    <w:sdtContent>
      <w:p>
        <w:pPr>
          <w:pStyle w:val="12"/>
          <w:jc w:val="center"/>
        </w:pPr>
        <w:r>
          <w:fldChar w:fldCharType="begin"/>
        </w:r>
        <w:r>
          <w:instrText xml:space="preserve">PAGE   \* MERGEFORMAT</w:instrText>
        </w:r>
        <w:r>
          <w:fldChar w:fldCharType="separate"/>
        </w:r>
        <w:r>
          <w:rPr>
            <w:lang w:val="zh-CN"/>
          </w:rPr>
          <w:t>I</w:t>
        </w:r>
        <w: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0536969"/>
    </w:sdtPr>
    <w:sdtContent>
      <w:p>
        <w:pPr>
          <w:pStyle w:val="12"/>
          <w:jc w:val="center"/>
        </w:pPr>
        <w:r>
          <w:fldChar w:fldCharType="begin"/>
        </w:r>
        <w:r>
          <w:instrText xml:space="preserve">PAGE   \* MERGEFORMAT</w:instrText>
        </w:r>
        <w:r>
          <w:fldChar w:fldCharType="separate"/>
        </w:r>
        <w:r>
          <w:rPr>
            <w:rFonts w:ascii="Times New Roman" w:hAnsi="Times New Roman"/>
            <w:lang w:val="zh-CN"/>
          </w:rPr>
          <w:t>61</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7"/>
        <w:spacing w:after="156"/>
        <w:ind w:firstLine="360"/>
      </w:pPr>
      <w:r>
        <w:rPr>
          <w:rStyle w:val="25"/>
        </w:rPr>
        <w:footnoteRef/>
      </w:r>
      <w:r>
        <w:t xml:space="preserve"> </w:t>
      </w:r>
      <w:r>
        <w:rPr>
          <w:rFonts w:hint="eastAsia"/>
        </w:rPr>
        <w:t>东部地区：福建、广东、海南、北京、江苏、辽宁、山东、上海、天津、浙江；中部地区：安徽、河南、黑龙江、湖北、湖南、吉林、江西、山西；西部地区：甘肃、广西、贵州、内蒙古、宁夏、青海、陕西、四川、西藏、新疆、云南、重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楷体" w:hAnsi="楷体" w:eastAsia="楷体"/>
        <w:b/>
        <w:sz w:val="24"/>
        <w:szCs w:val="24"/>
      </w:rPr>
    </w:pPr>
    <w:r>
      <w:rPr>
        <w:rFonts w:hint="eastAsia" w:ascii="楷体" w:hAnsi="楷体" w:eastAsia="楷体"/>
        <w:b/>
        <w:sz w:val="24"/>
        <w:szCs w:val="24"/>
      </w:rPr>
      <w:t>河北传媒学院2017届毕业生就业质量年度报告</w:t>
    </w:r>
  </w:p>
  <w:p>
    <w:pPr>
      <w:pStyle w:val="13"/>
      <w:ind w:right="120"/>
      <w:jc w:val="center"/>
      <w:rPr>
        <w:rFonts w:ascii="楷体" w:hAnsi="楷体" w:eastAsia="楷体"/>
        <w:sz w:val="24"/>
        <w:szCs w:val="24"/>
        <w:u w:val="thick"/>
      </w:rPr>
    </w:pPr>
    <w:r>
      <w:rPr>
        <w:rFonts w:ascii="楷体" w:hAnsi="楷体" w:eastAsia="楷体"/>
        <w:sz w:val="24"/>
        <w:szCs w:val="24"/>
        <w:u w:val="thick"/>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89535</wp:posOffset>
              </wp:positionV>
              <wp:extent cx="5400040" cy="0"/>
              <wp:effectExtent l="0" t="38100" r="10795" b="38100"/>
              <wp:wrapNone/>
              <wp:docPr id="271" name="直接连接符 271"/>
              <wp:cNvGraphicFramePr/>
              <a:graphic xmlns:a="http://schemas.openxmlformats.org/drawingml/2006/main">
                <a:graphicData uri="http://schemas.microsoft.com/office/word/2010/wordprocessingShape">
                  <wps:wsp>
                    <wps:cNvCnPr>
                      <a:cxnSpLocks noChangeShapeType="1"/>
                    </wps:cNvCnPr>
                    <wps:spPr bwMode="auto">
                      <a:xfrm>
                        <a:off x="0" y="0"/>
                        <a:ext cx="5400000" cy="0"/>
                      </a:xfrm>
                      <a:prstGeom prst="line">
                        <a:avLst/>
                      </a:prstGeom>
                      <a:noFill/>
                      <a:ln w="76200" cmpd="thickThin">
                        <a:solidFill>
                          <a:srgbClr val="000000"/>
                        </a:solidFill>
                        <a:round/>
                      </a:ln>
                      <a:effectLst/>
                    </wps:spPr>
                    <wps:bodyPr/>
                  </wps:wsp>
                </a:graphicData>
              </a:graphic>
            </wp:anchor>
          </w:drawing>
        </mc:Choice>
        <mc:Fallback>
          <w:pict>
            <v:line id="_x0000_s1026" o:spid="_x0000_s1026" o:spt="20" style="position:absolute;left:0pt;margin-top:7.05pt;height:0pt;width:425.2pt;mso-position-horizontal:center;z-index:251658240;mso-width-relative:page;mso-height-relative:page;" filled="f" stroked="t" coordsize="21600,21600" o:gfxdata="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l7Ngi0wAAAAYBAAAPAAAAAAAAAAEAIAAA&#10;ACIAAABkcnMvZG93bnJldi54bWxQSwECFAAUAAAACACHTuJAVZygRtgBAACAAwAADgAAAAAAAAAB&#10;ACAAAAAiAQAAZHJzL2Uyb0RvYy54bWxQSwUGAAAAAAYABgBZAQAAbAUAAAAA&#10;">
              <v:fill on="f" focussize="0,0"/>
              <v:stroke weight="6pt" color="#000000" linestyle="thickThin"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531FDF"/>
    <w:rsid w:val="00004DBD"/>
    <w:rsid w:val="000451D1"/>
    <w:rsid w:val="0006711E"/>
    <w:rsid w:val="000B095B"/>
    <w:rsid w:val="000D312A"/>
    <w:rsid w:val="001707DB"/>
    <w:rsid w:val="00172BA5"/>
    <w:rsid w:val="00176DE9"/>
    <w:rsid w:val="001B0219"/>
    <w:rsid w:val="00200FAA"/>
    <w:rsid w:val="00215FD6"/>
    <w:rsid w:val="00225ACB"/>
    <w:rsid w:val="0023769D"/>
    <w:rsid w:val="00260793"/>
    <w:rsid w:val="002C70CC"/>
    <w:rsid w:val="002D5FF0"/>
    <w:rsid w:val="00301F49"/>
    <w:rsid w:val="0038190F"/>
    <w:rsid w:val="003A5AB6"/>
    <w:rsid w:val="003C0737"/>
    <w:rsid w:val="00414EB5"/>
    <w:rsid w:val="004329ED"/>
    <w:rsid w:val="00433FD0"/>
    <w:rsid w:val="00450B5B"/>
    <w:rsid w:val="00491567"/>
    <w:rsid w:val="004C73D3"/>
    <w:rsid w:val="004E7027"/>
    <w:rsid w:val="004F4FDD"/>
    <w:rsid w:val="004F5E44"/>
    <w:rsid w:val="00562A6F"/>
    <w:rsid w:val="00563A59"/>
    <w:rsid w:val="005679C1"/>
    <w:rsid w:val="005A0841"/>
    <w:rsid w:val="005A23D1"/>
    <w:rsid w:val="005C041B"/>
    <w:rsid w:val="006642C9"/>
    <w:rsid w:val="006B6A0A"/>
    <w:rsid w:val="006C4074"/>
    <w:rsid w:val="00716982"/>
    <w:rsid w:val="00734686"/>
    <w:rsid w:val="00741A97"/>
    <w:rsid w:val="0079567F"/>
    <w:rsid w:val="007E04CC"/>
    <w:rsid w:val="007E1DF1"/>
    <w:rsid w:val="007E2854"/>
    <w:rsid w:val="00824CBD"/>
    <w:rsid w:val="00864DFC"/>
    <w:rsid w:val="008830B2"/>
    <w:rsid w:val="00886771"/>
    <w:rsid w:val="00915854"/>
    <w:rsid w:val="00952ED5"/>
    <w:rsid w:val="0096451B"/>
    <w:rsid w:val="00991357"/>
    <w:rsid w:val="00995F58"/>
    <w:rsid w:val="009C6137"/>
    <w:rsid w:val="00AA15C7"/>
    <w:rsid w:val="00AB0FB3"/>
    <w:rsid w:val="00AC389B"/>
    <w:rsid w:val="00B17B70"/>
    <w:rsid w:val="00B40CA4"/>
    <w:rsid w:val="00BB5676"/>
    <w:rsid w:val="00BE1807"/>
    <w:rsid w:val="00BE65FB"/>
    <w:rsid w:val="00CC1584"/>
    <w:rsid w:val="00CE07D7"/>
    <w:rsid w:val="00CE480D"/>
    <w:rsid w:val="00D1164E"/>
    <w:rsid w:val="00D30665"/>
    <w:rsid w:val="00D31DB5"/>
    <w:rsid w:val="00D34B11"/>
    <w:rsid w:val="00D5111F"/>
    <w:rsid w:val="00D63EFD"/>
    <w:rsid w:val="00D77E22"/>
    <w:rsid w:val="00D82DCD"/>
    <w:rsid w:val="00DC61FF"/>
    <w:rsid w:val="00DD529E"/>
    <w:rsid w:val="00DF221B"/>
    <w:rsid w:val="00E01582"/>
    <w:rsid w:val="00E13622"/>
    <w:rsid w:val="00E35DD9"/>
    <w:rsid w:val="00E57AC6"/>
    <w:rsid w:val="00F4037E"/>
    <w:rsid w:val="00F532FB"/>
    <w:rsid w:val="00F6743D"/>
    <w:rsid w:val="00F83ED9"/>
    <w:rsid w:val="00F9586E"/>
    <w:rsid w:val="00FA21FA"/>
    <w:rsid w:val="00FA2FA6"/>
    <w:rsid w:val="044F4000"/>
    <w:rsid w:val="04DC1D9A"/>
    <w:rsid w:val="075402CC"/>
    <w:rsid w:val="08FA5BC7"/>
    <w:rsid w:val="09531FDF"/>
    <w:rsid w:val="09C36739"/>
    <w:rsid w:val="09ED79AD"/>
    <w:rsid w:val="0B6D0580"/>
    <w:rsid w:val="0E045D32"/>
    <w:rsid w:val="0F3D461C"/>
    <w:rsid w:val="10443AD9"/>
    <w:rsid w:val="128933B4"/>
    <w:rsid w:val="13A14C10"/>
    <w:rsid w:val="15056EE2"/>
    <w:rsid w:val="151E4D5B"/>
    <w:rsid w:val="17CF08CA"/>
    <w:rsid w:val="184C4D37"/>
    <w:rsid w:val="18832B1E"/>
    <w:rsid w:val="195176A1"/>
    <w:rsid w:val="1D561F23"/>
    <w:rsid w:val="22136664"/>
    <w:rsid w:val="22A206B1"/>
    <w:rsid w:val="23CB67B4"/>
    <w:rsid w:val="26A9209C"/>
    <w:rsid w:val="293302BC"/>
    <w:rsid w:val="2A887D14"/>
    <w:rsid w:val="2CDE4FF1"/>
    <w:rsid w:val="2DBA2A29"/>
    <w:rsid w:val="2E0C7228"/>
    <w:rsid w:val="2ED7280C"/>
    <w:rsid w:val="30410BED"/>
    <w:rsid w:val="30B65C79"/>
    <w:rsid w:val="346A6463"/>
    <w:rsid w:val="35DB6919"/>
    <w:rsid w:val="377E7155"/>
    <w:rsid w:val="37D92EFD"/>
    <w:rsid w:val="39393DF0"/>
    <w:rsid w:val="3AAE760D"/>
    <w:rsid w:val="3AD622AA"/>
    <w:rsid w:val="3C6227BF"/>
    <w:rsid w:val="3C6B148C"/>
    <w:rsid w:val="3DCF503F"/>
    <w:rsid w:val="3E667E1A"/>
    <w:rsid w:val="3FC317B1"/>
    <w:rsid w:val="3FE927CC"/>
    <w:rsid w:val="40A21540"/>
    <w:rsid w:val="41A56416"/>
    <w:rsid w:val="41B5523A"/>
    <w:rsid w:val="4355507E"/>
    <w:rsid w:val="449A5940"/>
    <w:rsid w:val="45C42260"/>
    <w:rsid w:val="46051A9A"/>
    <w:rsid w:val="46500C32"/>
    <w:rsid w:val="48023E23"/>
    <w:rsid w:val="495E0E8C"/>
    <w:rsid w:val="4A923044"/>
    <w:rsid w:val="4DC76E52"/>
    <w:rsid w:val="51AD1BCD"/>
    <w:rsid w:val="533C4F97"/>
    <w:rsid w:val="54975DFB"/>
    <w:rsid w:val="55CA26CA"/>
    <w:rsid w:val="57510CC3"/>
    <w:rsid w:val="57C33F37"/>
    <w:rsid w:val="582C4717"/>
    <w:rsid w:val="58A834CB"/>
    <w:rsid w:val="5C1A4D13"/>
    <w:rsid w:val="5D1513E3"/>
    <w:rsid w:val="5EBB7B31"/>
    <w:rsid w:val="5F276AB4"/>
    <w:rsid w:val="60F37BD0"/>
    <w:rsid w:val="61EA3D6C"/>
    <w:rsid w:val="636872D4"/>
    <w:rsid w:val="6462315D"/>
    <w:rsid w:val="65C17C08"/>
    <w:rsid w:val="67EA7A02"/>
    <w:rsid w:val="6B666D8D"/>
    <w:rsid w:val="6B801647"/>
    <w:rsid w:val="6BA424C5"/>
    <w:rsid w:val="6CB3001C"/>
    <w:rsid w:val="6F496BAA"/>
    <w:rsid w:val="722A19D3"/>
    <w:rsid w:val="72A41034"/>
    <w:rsid w:val="744B2D53"/>
    <w:rsid w:val="7660161B"/>
    <w:rsid w:val="773C6C6B"/>
    <w:rsid w:val="78484A2C"/>
    <w:rsid w:val="799C05B0"/>
    <w:rsid w:val="7B723EA2"/>
    <w:rsid w:val="7B746658"/>
    <w:rsid w:val="7C9C2BA9"/>
    <w:rsid w:val="7D61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qFormat="1"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eastAsia="宋体" w:cs="Calibri"/>
      <w:b/>
      <w:bCs/>
      <w:kern w:val="44"/>
      <w:sz w:val="44"/>
      <w:szCs w:val="44"/>
    </w:rPr>
  </w:style>
  <w:style w:type="paragraph" w:styleId="3">
    <w:name w:val="heading 2"/>
    <w:basedOn w:val="1"/>
    <w:next w:val="1"/>
    <w:link w:val="29"/>
    <w:unhideWhenUsed/>
    <w:qFormat/>
    <w:uiPriority w:val="0"/>
    <w:pPr>
      <w:keepNext/>
      <w:keepLines/>
      <w:spacing w:before="260" w:after="260" w:line="416" w:lineRule="auto"/>
      <w:outlineLvl w:val="1"/>
    </w:pPr>
    <w:rPr>
      <w:rFonts w:ascii="Cambria" w:hAnsi="Cambria" w:eastAsia="宋体" w:cs="Cambria"/>
      <w:b/>
      <w:bCs/>
      <w:sz w:val="32"/>
      <w:szCs w:val="32"/>
    </w:rPr>
  </w:style>
  <w:style w:type="paragraph" w:styleId="4">
    <w:name w:val="heading 3"/>
    <w:basedOn w:val="1"/>
    <w:next w:val="1"/>
    <w:link w:val="30"/>
    <w:qFormat/>
    <w:uiPriority w:val="0"/>
    <w:pPr>
      <w:keepNext/>
      <w:keepLines/>
      <w:spacing w:before="260" w:beforeLines="50" w:after="260" w:afterLines="50" w:line="416" w:lineRule="auto"/>
      <w:ind w:firstLine="200" w:firstLineChars="200"/>
      <w:jc w:val="left"/>
      <w:outlineLvl w:val="2"/>
    </w:pPr>
    <w:rPr>
      <w:rFonts w:ascii="Times New Roman" w:hAnsi="Times New Roman" w:eastAsia="宋体" w:cs="Times New Roman"/>
      <w:b/>
      <w:bCs/>
      <w:snapToGrid w:val="0"/>
      <w:sz w:val="32"/>
      <w:szCs w:val="32"/>
    </w:rPr>
  </w:style>
  <w:style w:type="character" w:default="1" w:styleId="22">
    <w:name w:val="Default Paragraph Font"/>
    <w:unhideWhenUsed/>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style>
  <w:style w:type="paragraph" w:styleId="6">
    <w:name w:val="caption"/>
    <w:basedOn w:val="1"/>
    <w:next w:val="1"/>
    <w:unhideWhenUsed/>
    <w:qFormat/>
    <w:uiPriority w:val="0"/>
    <w:rPr>
      <w:rFonts w:eastAsia="黑体" w:asciiTheme="majorHAnsi" w:hAnsiTheme="majorHAnsi" w:cstheme="majorBidi"/>
      <w:sz w:val="20"/>
      <w:szCs w:val="20"/>
    </w:rPr>
  </w:style>
  <w:style w:type="paragraph" w:styleId="7">
    <w:name w:val="annotation text"/>
    <w:basedOn w:val="1"/>
    <w:qFormat/>
    <w:uiPriority w:val="0"/>
    <w:pPr>
      <w:jc w:val="left"/>
    </w:pPr>
  </w:style>
  <w:style w:type="paragraph" w:styleId="8">
    <w:name w:val="toc 5"/>
    <w:basedOn w:val="1"/>
    <w:next w:val="1"/>
    <w:unhideWhenUsed/>
    <w:qFormat/>
    <w:uiPriority w:val="39"/>
    <w:pPr>
      <w:ind w:left="1680" w:leftChars="800"/>
    </w:pPr>
  </w:style>
  <w:style w:type="paragraph" w:styleId="9">
    <w:name w:val="toc 3"/>
    <w:basedOn w:val="1"/>
    <w:next w:val="1"/>
    <w:qFormat/>
    <w:uiPriority w:val="39"/>
    <w:pPr>
      <w:ind w:left="420"/>
      <w:jc w:val="left"/>
    </w:pPr>
    <w:rPr>
      <w:rFonts w:cs="Calibri"/>
      <w:i/>
      <w:iCs/>
      <w:sz w:val="20"/>
      <w:szCs w:val="20"/>
    </w:rPr>
  </w:style>
  <w:style w:type="paragraph" w:styleId="10">
    <w:name w:val="toc 8"/>
    <w:basedOn w:val="1"/>
    <w:next w:val="1"/>
    <w:unhideWhenUsed/>
    <w:qFormat/>
    <w:uiPriority w:val="39"/>
    <w:pPr>
      <w:ind w:left="2940" w:leftChars="1400"/>
    </w:pPr>
  </w:style>
  <w:style w:type="paragraph" w:styleId="11">
    <w:name w:val="Balloon Text"/>
    <w:basedOn w:val="1"/>
    <w:link w:val="31"/>
    <w:qFormat/>
    <w:uiPriority w:val="0"/>
    <w:rPr>
      <w:sz w:val="18"/>
      <w:szCs w:val="18"/>
    </w:rPr>
  </w:style>
  <w:style w:type="paragraph" w:styleId="12">
    <w:name w:val="footer"/>
    <w:basedOn w:val="1"/>
    <w:link w:val="59"/>
    <w:qFormat/>
    <w:uiPriority w:val="99"/>
    <w:pPr>
      <w:tabs>
        <w:tab w:val="center" w:pos="4153"/>
        <w:tab w:val="right" w:pos="8306"/>
      </w:tabs>
      <w:snapToGrid w:val="0"/>
      <w:jc w:val="left"/>
    </w:pPr>
    <w:rPr>
      <w:rFonts w:ascii="Calibri" w:hAnsi="Calibri" w:eastAsia="宋体" w:cs="Times New Roman"/>
      <w:kern w:val="0"/>
      <w:sz w:val="18"/>
      <w:szCs w:val="18"/>
    </w:rPr>
  </w:style>
  <w:style w:type="paragraph" w:styleId="13">
    <w:name w:val="header"/>
    <w:basedOn w:val="1"/>
    <w:link w:val="6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qFormat/>
    <w:uiPriority w:val="39"/>
    <w:pPr>
      <w:tabs>
        <w:tab w:val="right" w:leader="dot" w:pos="8777"/>
      </w:tabs>
      <w:spacing w:before="120" w:after="120" w:line="360" w:lineRule="auto"/>
      <w:jc w:val="left"/>
    </w:pPr>
    <w:rPr>
      <w:rFonts w:ascii="Times New Roman" w:hAnsi="Times New Roman" w:eastAsia="黑体" w:cs="Calibri"/>
      <w:b/>
      <w:bCs/>
      <w:caps/>
      <w:sz w:val="24"/>
      <w:szCs w:val="24"/>
    </w:rPr>
  </w:style>
  <w:style w:type="paragraph" w:styleId="15">
    <w:name w:val="toc 4"/>
    <w:basedOn w:val="1"/>
    <w:next w:val="1"/>
    <w:unhideWhenUsed/>
    <w:qFormat/>
    <w:uiPriority w:val="39"/>
    <w:pPr>
      <w:ind w:left="1260" w:leftChars="600"/>
    </w:pPr>
  </w:style>
  <w:style w:type="paragraph" w:styleId="16">
    <w:name w:val="Subtitle"/>
    <w:basedOn w:val="1"/>
    <w:next w:val="1"/>
    <w:qFormat/>
    <w:uiPriority w:val="0"/>
    <w:pPr>
      <w:ind w:left="432" w:right="1080"/>
    </w:pPr>
    <w:rPr>
      <w:rFonts w:ascii="Calibri" w:hAnsi="Calibri" w:eastAsia="宋体" w:cs="黑体"/>
      <w:caps/>
      <w:color w:val="7E97AD"/>
      <w:kern w:val="20"/>
      <w:sz w:val="56"/>
    </w:rPr>
  </w:style>
  <w:style w:type="paragraph" w:styleId="17">
    <w:name w:val="footnote text"/>
    <w:basedOn w:val="1"/>
    <w:qFormat/>
    <w:uiPriority w:val="0"/>
    <w:pPr>
      <w:snapToGrid w:val="0"/>
      <w:spacing w:afterLines="50" w:line="288" w:lineRule="auto"/>
      <w:ind w:firstLine="200" w:firstLineChars="200"/>
      <w:jc w:val="left"/>
    </w:pPr>
    <w:rPr>
      <w:rFonts w:ascii="Times New Roman" w:hAnsi="Times New Roman" w:eastAsia="宋体" w:cs="Times New Roman"/>
      <w:kern w:val="0"/>
      <w:sz w:val="18"/>
      <w:szCs w:val="18"/>
    </w:rPr>
  </w:style>
  <w:style w:type="paragraph" w:styleId="18">
    <w:name w:val="toc 6"/>
    <w:basedOn w:val="1"/>
    <w:next w:val="1"/>
    <w:unhideWhenUsed/>
    <w:qFormat/>
    <w:uiPriority w:val="39"/>
    <w:pPr>
      <w:ind w:left="2100" w:leftChars="1000"/>
    </w:pPr>
  </w:style>
  <w:style w:type="paragraph" w:styleId="19">
    <w:name w:val="toc 2"/>
    <w:basedOn w:val="1"/>
    <w:next w:val="1"/>
    <w:qFormat/>
    <w:uiPriority w:val="39"/>
    <w:pPr>
      <w:ind w:left="210"/>
      <w:jc w:val="left"/>
    </w:pPr>
    <w:rPr>
      <w:rFonts w:cs="Calibri"/>
      <w:smallCaps/>
      <w:sz w:val="20"/>
      <w:szCs w:val="20"/>
    </w:rPr>
  </w:style>
  <w:style w:type="paragraph" w:styleId="20">
    <w:name w:val="toc 9"/>
    <w:basedOn w:val="1"/>
    <w:next w:val="1"/>
    <w:unhideWhenUsed/>
    <w:qFormat/>
    <w:uiPriority w:val="39"/>
    <w:pPr>
      <w:ind w:left="3360" w:leftChars="1600"/>
    </w:pPr>
  </w:style>
  <w:style w:type="paragraph" w:styleId="21">
    <w:name w:val="Title"/>
    <w:basedOn w:val="1"/>
    <w:next w:val="1"/>
    <w:qFormat/>
    <w:uiPriority w:val="0"/>
    <w:pPr>
      <w:pBdr>
        <w:top w:val="single" w:color="7E97AD" w:sz="4" w:space="16"/>
        <w:left w:val="single" w:color="7E97AD" w:sz="4" w:space="20"/>
        <w:bottom w:val="single" w:color="7E97AD" w:sz="4" w:space="16"/>
        <w:right w:val="single" w:color="7E97AD" w:sz="4" w:space="20"/>
      </w:pBdr>
      <w:shd w:val="clear" w:color="auto" w:fill="7E97AD"/>
      <w:spacing w:after="240" w:line="204" w:lineRule="auto"/>
      <w:ind w:left="432" w:right="432"/>
    </w:pPr>
    <w:rPr>
      <w:rFonts w:ascii="Calibri" w:hAnsi="Calibri" w:eastAsia="宋体" w:cs="黑体"/>
      <w:caps/>
      <w:color w:val="FFFFFF"/>
      <w:kern w:val="28"/>
      <w:sz w:val="72"/>
      <w:shd w:val="clear" w:color="auto" w:fill="7E97AD"/>
    </w:rPr>
  </w:style>
  <w:style w:type="character" w:styleId="23">
    <w:name w:val="Strong"/>
    <w:qFormat/>
    <w:uiPriority w:val="0"/>
    <w:rPr>
      <w:b/>
      <w:bCs/>
    </w:rPr>
  </w:style>
  <w:style w:type="character" w:styleId="24">
    <w:name w:val="Hyperlink"/>
    <w:qFormat/>
    <w:uiPriority w:val="99"/>
    <w:rPr>
      <w:color w:val="0000FF"/>
      <w:u w:val="single"/>
    </w:rPr>
  </w:style>
  <w:style w:type="character" w:styleId="25">
    <w:name w:val="footnote reference"/>
    <w:qFormat/>
    <w:uiPriority w:val="0"/>
    <w:rPr>
      <w:vertAlign w:val="superscript"/>
    </w:r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8">
    <w:name w:val="Medium Shading 1 Accent 5"/>
    <w:basedOn w:val="26"/>
    <w:qFormat/>
    <w:uiPriority w:val="63"/>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shd w:val="clear" w:color="auto" w:fill="4472C4" w:themeFill="accent5"/>
      </w:tcPr>
    </w:tblStylePr>
    <w:tblStylePr w:type="lastRow">
      <w:pPr>
        <w:spacing w:before="0" w:after="0" w:line="240" w:lineRule="auto"/>
      </w:pPr>
      <w:rPr>
        <w:b/>
        <w:bCs/>
      </w:rPr>
      <w:tblPr>
        <w:tblLayout w:type="fixed"/>
      </w:tblPr>
      <w:tcPr>
        <w:tcBorders>
          <w:top w:val="double" w:color="7295D2" w:themeColor="accent5" w:themeTint="BF" w:sz="6"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0DCF0" w:themeFill="accent5" w:themeFillTint="3F"/>
      </w:tcPr>
    </w:tblStylePr>
    <w:tblStylePr w:type="band1Horz">
      <w:tblPr>
        <w:tblLayout w:type="fixed"/>
      </w:tblPr>
      <w:tcPr>
        <w:tcBorders>
          <w:insideH w:val="nil"/>
          <w:insideV w:val="nil"/>
        </w:tcBorders>
        <w:shd w:val="clear" w:color="auto" w:fill="D0DCF0" w:themeFill="accent5" w:themeFillTint="3F"/>
      </w:tcPr>
    </w:tblStylePr>
    <w:tblStylePr w:type="band2Horz">
      <w:tblPr>
        <w:tblLayout w:type="fixed"/>
      </w:tblPr>
      <w:tcPr>
        <w:tcBorders>
          <w:insideH w:val="nil"/>
          <w:insideV w:val="nil"/>
        </w:tcBorders>
      </w:tcPr>
    </w:tblStylePr>
  </w:style>
  <w:style w:type="character" w:customStyle="1" w:styleId="29">
    <w:name w:val="标题 2 Char"/>
    <w:link w:val="3"/>
    <w:qFormat/>
    <w:uiPriority w:val="0"/>
    <w:rPr>
      <w:rFonts w:ascii="Cambria" w:hAnsi="Cambria" w:cs="Cambria"/>
      <w:b/>
      <w:bCs/>
      <w:kern w:val="2"/>
      <w:sz w:val="32"/>
      <w:szCs w:val="32"/>
    </w:rPr>
  </w:style>
  <w:style w:type="character" w:customStyle="1" w:styleId="30">
    <w:name w:val="标题 3 Char"/>
    <w:basedOn w:val="22"/>
    <w:link w:val="4"/>
    <w:qFormat/>
    <w:uiPriority w:val="0"/>
    <w:rPr>
      <w:b/>
      <w:bCs/>
      <w:snapToGrid w:val="0"/>
      <w:kern w:val="2"/>
      <w:sz w:val="32"/>
      <w:szCs w:val="32"/>
    </w:rPr>
  </w:style>
  <w:style w:type="character" w:customStyle="1" w:styleId="31">
    <w:name w:val="批注框文本 Char"/>
    <w:basedOn w:val="22"/>
    <w:link w:val="11"/>
    <w:qFormat/>
    <w:uiPriority w:val="0"/>
    <w:rPr>
      <w:rFonts w:asciiTheme="minorHAnsi" w:hAnsiTheme="minorHAnsi" w:eastAsiaTheme="minorEastAsia" w:cstheme="minorBidi"/>
      <w:kern w:val="2"/>
      <w:sz w:val="18"/>
      <w:szCs w:val="18"/>
    </w:rPr>
  </w:style>
  <w:style w:type="paragraph" w:customStyle="1" w:styleId="32">
    <w:name w:val="报告正文样式"/>
    <w:basedOn w:val="1"/>
    <w:qFormat/>
    <w:uiPriority w:val="0"/>
    <w:pPr>
      <w:widowControl/>
      <w:spacing w:beforeLines="50" w:afterLines="50" w:line="360" w:lineRule="auto"/>
      <w:ind w:firstLine="480" w:firstLineChars="200"/>
    </w:pPr>
    <w:rPr>
      <w:rFonts w:ascii="宋体" w:hAnsi="宋体" w:eastAsia="宋体" w:cs="宋体"/>
      <w:color w:val="000000"/>
      <w:kern w:val="0"/>
      <w:sz w:val="24"/>
      <w:szCs w:val="24"/>
    </w:rPr>
  </w:style>
  <w:style w:type="paragraph" w:customStyle="1" w:styleId="33">
    <w:name w:val="报告四级样式"/>
    <w:basedOn w:val="1"/>
    <w:qFormat/>
    <w:uiPriority w:val="0"/>
    <w:pPr>
      <w:spacing w:before="260" w:afterLines="50" w:line="415" w:lineRule="auto"/>
      <w:ind w:firstLine="512" w:firstLineChars="196"/>
      <w:outlineLvl w:val="1"/>
    </w:pPr>
    <w:rPr>
      <w:rFonts w:ascii="黑体" w:hAnsi="黑体" w:eastAsia="黑体" w:cs="Times New Roman"/>
      <w:b/>
      <w:bCs/>
      <w:sz w:val="26"/>
      <w:szCs w:val="26"/>
    </w:rPr>
  </w:style>
  <w:style w:type="paragraph" w:customStyle="1" w:styleId="34">
    <w:name w:val="Abstract"/>
    <w:basedOn w:val="1"/>
    <w:qFormat/>
    <w:uiPriority w:val="0"/>
    <w:pPr>
      <w:spacing w:before="360"/>
      <w:ind w:left="432" w:right="1080"/>
    </w:pPr>
    <w:rPr>
      <w:i/>
      <w:iCs/>
      <w:color w:val="7C7C7C"/>
      <w:sz w:val="28"/>
    </w:rPr>
  </w:style>
  <w:style w:type="paragraph" w:customStyle="1" w:styleId="35">
    <w:name w:val="FL正文"/>
    <w:basedOn w:val="1"/>
    <w:qFormat/>
    <w:uiPriority w:val="0"/>
    <w:pPr>
      <w:topLinePunct/>
      <w:spacing w:line="360" w:lineRule="auto"/>
      <w:ind w:firstLine="200" w:firstLineChars="200"/>
    </w:pPr>
    <w:rPr>
      <w:sz w:val="24"/>
    </w:rPr>
  </w:style>
  <w:style w:type="paragraph" w:customStyle="1" w:styleId="36">
    <w:name w:val="FL图标题"/>
    <w:basedOn w:val="37"/>
    <w:qFormat/>
    <w:uiPriority w:val="0"/>
    <w:pPr>
      <w:adjustRightInd w:val="0"/>
      <w:snapToGrid w:val="0"/>
      <w:spacing w:beforeLines="50" w:afterLines="100"/>
      <w:ind w:left="567" w:hanging="567"/>
      <w:jc w:val="center"/>
    </w:pPr>
    <w:rPr>
      <w:color w:val="2E75B6" w:themeColor="accent1" w:themeShade="BF"/>
    </w:rPr>
  </w:style>
  <w:style w:type="paragraph" w:customStyle="1" w:styleId="37">
    <w:name w:val="无间隔1"/>
    <w:qFormat/>
    <w:uiPriority w:val="1"/>
    <w:pPr>
      <w:widowControl w:val="0"/>
      <w:jc w:val="both"/>
    </w:pPr>
    <w:rPr>
      <w:rFonts w:ascii="Times New Roman" w:hAnsi="Times New Roman" w:eastAsiaTheme="minorEastAsia" w:cstheme="minorBidi"/>
      <w:kern w:val="2"/>
      <w:sz w:val="21"/>
      <w:szCs w:val="22"/>
      <w:lang w:val="en-US" w:eastAsia="zh-CN" w:bidi="ar-SA"/>
    </w:rPr>
  </w:style>
  <w:style w:type="character" w:customStyle="1" w:styleId="38">
    <w:name w:val="font11"/>
    <w:basedOn w:val="22"/>
    <w:qFormat/>
    <w:uiPriority w:val="0"/>
    <w:rPr>
      <w:rFonts w:hint="default" w:ascii="Times New Roman" w:hAnsi="Times New Roman" w:cs="Times New Roman"/>
      <w:b/>
      <w:color w:val="000000"/>
      <w:sz w:val="21"/>
      <w:szCs w:val="21"/>
      <w:u w:val="none"/>
    </w:rPr>
  </w:style>
  <w:style w:type="paragraph" w:customStyle="1" w:styleId="39">
    <w:name w:val="FL标题2"/>
    <w:basedOn w:val="1"/>
    <w:qFormat/>
    <w:uiPriority w:val="0"/>
    <w:pPr>
      <w:shd w:val="pct25" w:color="auto" w:fill="auto"/>
      <w:tabs>
        <w:tab w:val="center" w:pos="4218"/>
        <w:tab w:val="left" w:pos="7183"/>
      </w:tabs>
      <w:spacing w:afterLines="50" w:line="360" w:lineRule="auto"/>
      <w:jc w:val="center"/>
      <w:outlineLvl w:val="1"/>
    </w:pPr>
    <w:rPr>
      <w:rFonts w:eastAsia="黑体"/>
      <w:b/>
      <w:color w:val="18499D"/>
      <w:sz w:val="30"/>
      <w:szCs w:val="30"/>
    </w:rPr>
  </w:style>
  <w:style w:type="paragraph" w:customStyle="1" w:styleId="40">
    <w:name w:val="FL标题3"/>
    <w:basedOn w:val="1"/>
    <w:link w:val="41"/>
    <w:qFormat/>
    <w:uiPriority w:val="0"/>
    <w:pPr>
      <w:topLinePunct/>
      <w:spacing w:beforeLines="50"/>
      <w:outlineLvl w:val="2"/>
    </w:pPr>
    <w:rPr>
      <w:rFonts w:eastAsia="黑体"/>
      <w:sz w:val="28"/>
      <w:szCs w:val="28"/>
    </w:rPr>
  </w:style>
  <w:style w:type="character" w:customStyle="1" w:styleId="41">
    <w:name w:val="FL标题3 Char"/>
    <w:basedOn w:val="22"/>
    <w:link w:val="40"/>
    <w:qFormat/>
    <w:uiPriority w:val="0"/>
    <w:rPr>
      <w:rFonts w:eastAsia="黑体"/>
      <w:sz w:val="28"/>
      <w:szCs w:val="28"/>
    </w:rPr>
  </w:style>
  <w:style w:type="paragraph" w:customStyle="1" w:styleId="42">
    <w:name w:val="FL表标题"/>
    <w:basedOn w:val="37"/>
    <w:qFormat/>
    <w:uiPriority w:val="0"/>
    <w:pPr>
      <w:adjustRightInd w:val="0"/>
      <w:snapToGrid w:val="0"/>
      <w:spacing w:beforeLines="100" w:afterLines="50"/>
      <w:ind w:left="573" w:hanging="567"/>
      <w:jc w:val="center"/>
    </w:pPr>
    <w:rPr>
      <w:rFonts w:eastAsia="宋体"/>
      <w:color w:val="2E75B6" w:themeColor="accent1" w:themeShade="BF"/>
    </w:rPr>
  </w:style>
  <w:style w:type="paragraph" w:customStyle="1" w:styleId="43">
    <w:name w:val="FL表格文本"/>
    <w:basedOn w:val="37"/>
    <w:qFormat/>
    <w:uiPriority w:val="0"/>
    <w:rPr>
      <w:rFonts w:eastAsia="宋体"/>
    </w:rPr>
  </w:style>
  <w:style w:type="table" w:customStyle="1" w:styleId="44">
    <w:name w:val="Grid Table 4 Accent 1"/>
    <w:basedOn w:val="26"/>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character" w:customStyle="1" w:styleId="45">
    <w:name w:val="FL标题4 Char"/>
    <w:basedOn w:val="41"/>
    <w:link w:val="46"/>
    <w:qFormat/>
    <w:uiPriority w:val="0"/>
    <w:rPr>
      <w:rFonts w:eastAsia="黑体"/>
      <w:kern w:val="0"/>
      <w:sz w:val="28"/>
      <w:szCs w:val="28"/>
    </w:rPr>
  </w:style>
  <w:style w:type="paragraph" w:customStyle="1" w:styleId="46">
    <w:name w:val="FL标题4"/>
    <w:basedOn w:val="40"/>
    <w:link w:val="45"/>
    <w:qFormat/>
    <w:uiPriority w:val="0"/>
    <w:pPr>
      <w:spacing w:beforeLines="0"/>
      <w:outlineLvl w:val="3"/>
    </w:pPr>
    <w:rPr>
      <w:kern w:val="0"/>
    </w:rPr>
  </w:style>
  <w:style w:type="paragraph" w:customStyle="1" w:styleId="47">
    <w:name w:val="三级标题1"/>
    <w:basedOn w:val="1"/>
    <w:qFormat/>
    <w:uiPriority w:val="0"/>
    <w:pPr>
      <w:keepNext/>
      <w:keepLines/>
      <w:spacing w:beforeLines="50" w:afterLines="50" w:line="400" w:lineRule="atLeast"/>
      <w:jc w:val="left"/>
      <w:outlineLvl w:val="2"/>
    </w:pPr>
    <w:rPr>
      <w:rFonts w:eastAsia="黑体"/>
      <w:b/>
      <w:bCs/>
      <w:sz w:val="28"/>
      <w:szCs w:val="32"/>
    </w:rPr>
  </w:style>
  <w:style w:type="paragraph" w:customStyle="1" w:styleId="48">
    <w:name w:val="11111"/>
    <w:basedOn w:val="2"/>
    <w:qFormat/>
    <w:uiPriority w:val="0"/>
    <w:pPr>
      <w:keepNext w:val="0"/>
      <w:keepLines w:val="0"/>
      <w:widowControl/>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hd w:val="clear" w:color="auto" w:fill="0070C0"/>
      <w:spacing w:before="50" w:beforeLines="50" w:after="50" w:afterLines="50" w:line="360" w:lineRule="auto"/>
      <w:jc w:val="center"/>
    </w:pPr>
    <w:rPr>
      <w:rFonts w:ascii="黑体" w:hAnsi="黑体" w:eastAsia="黑体" w:cs="Times New Roman"/>
      <w:bCs w:val="0"/>
      <w:caps/>
      <w:color w:val="FFFFFF"/>
      <w:spacing w:val="15"/>
      <w:kern w:val="0"/>
      <w:sz w:val="36"/>
      <w:szCs w:val="36"/>
      <w:lang w:val="zh-CN"/>
    </w:rPr>
  </w:style>
  <w:style w:type="paragraph" w:customStyle="1" w:styleId="49">
    <w:name w:val="二级标题"/>
    <w:basedOn w:val="1"/>
    <w:qFormat/>
    <w:uiPriority w:val="0"/>
    <w:pPr>
      <w:keepNext/>
      <w:keepLines/>
      <w:spacing w:beforeLines="50" w:afterLines="50" w:line="400" w:lineRule="atLeast"/>
      <w:outlineLvl w:val="1"/>
    </w:pPr>
    <w:rPr>
      <w:rFonts w:eastAsia="黑体" w:asciiTheme="majorHAnsi" w:hAnsiTheme="majorHAnsi" w:cstheme="majorBidi"/>
      <w:b/>
      <w:bCs/>
      <w:sz w:val="30"/>
      <w:szCs w:val="32"/>
    </w:rPr>
  </w:style>
  <w:style w:type="paragraph" w:customStyle="1" w:styleId="50">
    <w:name w:val="报告正文样例"/>
    <w:qFormat/>
    <w:uiPriority w:val="0"/>
    <w:pPr>
      <w:spacing w:line="360" w:lineRule="auto"/>
      <w:ind w:firstLine="200" w:firstLineChars="200"/>
      <w:jc w:val="both"/>
    </w:pPr>
    <w:rPr>
      <w:rFonts w:ascii="Times New Roman" w:hAnsi="Times New Roman" w:eastAsia="宋体" w:cs="Times New Roman"/>
      <w:bCs/>
      <w:color w:val="000000"/>
      <w:sz w:val="24"/>
      <w:szCs w:val="30"/>
      <w:lang w:val="zh-CN" w:eastAsia="zh-CN" w:bidi="ar-SA"/>
    </w:rPr>
  </w:style>
  <w:style w:type="paragraph" w:customStyle="1" w:styleId="51">
    <w:name w:val="无间隔11"/>
    <w:qFormat/>
    <w:uiPriority w:val="1"/>
    <w:pPr>
      <w:widowControl w:val="0"/>
      <w:jc w:val="both"/>
    </w:pPr>
    <w:rPr>
      <w:rFonts w:ascii="Times New Roman" w:hAnsi="Times New Roman" w:eastAsiaTheme="minorEastAsia" w:cstheme="minorBidi"/>
      <w:kern w:val="2"/>
      <w:sz w:val="21"/>
      <w:szCs w:val="22"/>
      <w:lang w:val="en-US" w:eastAsia="zh-CN" w:bidi="ar-SA"/>
    </w:rPr>
  </w:style>
  <w:style w:type="paragraph" w:customStyle="1" w:styleId="52">
    <w:name w:val="报告一级标题样式"/>
    <w:basedOn w:val="2"/>
    <w:qFormat/>
    <w:uiPriority w:val="0"/>
    <w:pPr>
      <w:keepNext w:val="0"/>
      <w:keepLines w:val="0"/>
      <w:spacing w:before="0" w:after="50" w:line="360" w:lineRule="auto"/>
      <w:jc w:val="center"/>
    </w:pPr>
    <w:rPr>
      <w:rFonts w:ascii="黑体" w:hAnsi="黑体" w:eastAsia="黑体" w:cs="Times New Roman"/>
      <w:color w:val="000000"/>
      <w:sz w:val="32"/>
      <w:szCs w:val="32"/>
    </w:rPr>
  </w:style>
  <w:style w:type="paragraph" w:customStyle="1" w:styleId="53">
    <w:name w:val="新报告二级"/>
    <w:basedOn w:val="1"/>
    <w:qFormat/>
    <w:uiPriority w:val="0"/>
    <w:pPr>
      <w:spacing w:beforeLines="50" w:afterLines="50" w:line="360" w:lineRule="auto"/>
      <w:outlineLvl w:val="1"/>
    </w:pPr>
    <w:rPr>
      <w:rFonts w:ascii="黑体" w:hAnsi="黑体" w:eastAsia="黑体" w:cs="Times New Roman"/>
      <w:b/>
      <w:bCs/>
      <w:color w:val="000000"/>
      <w:sz w:val="30"/>
      <w:szCs w:val="30"/>
    </w:rPr>
  </w:style>
  <w:style w:type="character" w:customStyle="1" w:styleId="54">
    <w:name w:val="font21"/>
    <w:basedOn w:val="22"/>
    <w:qFormat/>
    <w:uiPriority w:val="0"/>
    <w:rPr>
      <w:rFonts w:hint="default" w:ascii="Times New Roman" w:hAnsi="Times New Roman" w:cs="Times New Roman"/>
      <w:color w:val="000000"/>
      <w:sz w:val="21"/>
      <w:szCs w:val="21"/>
      <w:u w:val="none"/>
    </w:rPr>
  </w:style>
  <w:style w:type="paragraph" w:customStyle="1" w:styleId="55">
    <w:name w:val="列出段落2"/>
    <w:basedOn w:val="1"/>
    <w:qFormat/>
    <w:uiPriority w:val="99"/>
    <w:pPr>
      <w:ind w:firstLine="420" w:firstLineChars="200"/>
    </w:pPr>
    <w:rPr>
      <w:rFonts w:ascii="Calibri" w:hAnsi="Calibri" w:cs="Calibri"/>
    </w:rPr>
  </w:style>
  <w:style w:type="paragraph" w:customStyle="1" w:styleId="56">
    <w:name w:val="列出段落1"/>
    <w:basedOn w:val="1"/>
    <w:qFormat/>
    <w:uiPriority w:val="34"/>
    <w:pPr>
      <w:ind w:firstLine="420" w:firstLineChars="200"/>
    </w:pPr>
  </w:style>
  <w:style w:type="paragraph" w:customStyle="1" w:styleId="57">
    <w:name w:val="列出段落11"/>
    <w:basedOn w:val="1"/>
    <w:qFormat/>
    <w:uiPriority w:val="34"/>
    <w:pPr>
      <w:ind w:firstLine="420" w:firstLineChars="200"/>
    </w:pPr>
  </w:style>
  <w:style w:type="character" w:customStyle="1" w:styleId="58">
    <w:name w:val="font31"/>
    <w:basedOn w:val="22"/>
    <w:uiPriority w:val="0"/>
    <w:rPr>
      <w:rFonts w:hint="eastAsia" w:ascii="宋体" w:hAnsi="宋体" w:eastAsia="宋体" w:cs="宋体"/>
      <w:b/>
      <w:color w:val="000000"/>
      <w:sz w:val="21"/>
      <w:szCs w:val="21"/>
      <w:u w:val="none"/>
    </w:rPr>
  </w:style>
  <w:style w:type="character" w:customStyle="1" w:styleId="59">
    <w:name w:val="页脚 Char"/>
    <w:basedOn w:val="22"/>
    <w:link w:val="12"/>
    <w:uiPriority w:val="99"/>
    <w:rPr>
      <w:rFonts w:ascii="Calibri" w:hAnsi="Calibri"/>
      <w:sz w:val="18"/>
      <w:szCs w:val="18"/>
    </w:rPr>
  </w:style>
  <w:style w:type="character" w:customStyle="1" w:styleId="60">
    <w:name w:val="页眉 Char"/>
    <w:basedOn w:val="22"/>
    <w:link w:val="13"/>
    <w:uiPriority w:val="99"/>
    <w:rPr>
      <w:rFonts w:asciiTheme="minorHAnsi" w:hAnsiTheme="minorHAnsi" w:eastAsiaTheme="minorEastAsia" w:cstheme="minorBidi"/>
      <w:kern w:val="2"/>
      <w:sz w:val="18"/>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9" Type="http://schemas.openxmlformats.org/officeDocument/2006/relationships/fontTable" Target="fontTable.xml"/><Relationship Id="rId68" Type="http://schemas.openxmlformats.org/officeDocument/2006/relationships/customXml" Target="../customXml/item2.xml"/><Relationship Id="rId67" Type="http://schemas.openxmlformats.org/officeDocument/2006/relationships/customXml" Target="../customXml/item1.xml"/><Relationship Id="rId66" Type="http://schemas.openxmlformats.org/officeDocument/2006/relationships/chart" Target="charts/chart45.xml"/><Relationship Id="rId65" Type="http://schemas.openxmlformats.org/officeDocument/2006/relationships/chart" Target="charts/chart44.xml"/><Relationship Id="rId64" Type="http://schemas.openxmlformats.org/officeDocument/2006/relationships/chart" Target="charts/chart43.xml"/><Relationship Id="rId63" Type="http://schemas.openxmlformats.org/officeDocument/2006/relationships/chart" Target="charts/chart42.xml"/><Relationship Id="rId62" Type="http://schemas.openxmlformats.org/officeDocument/2006/relationships/chart" Target="charts/chart41.xml"/><Relationship Id="rId61" Type="http://schemas.openxmlformats.org/officeDocument/2006/relationships/chart" Target="charts/chart40.xml"/><Relationship Id="rId60" Type="http://schemas.openxmlformats.org/officeDocument/2006/relationships/chart" Target="charts/chart39.xml"/><Relationship Id="rId6" Type="http://schemas.openxmlformats.org/officeDocument/2006/relationships/footer" Target="footer2.xml"/><Relationship Id="rId59" Type="http://schemas.openxmlformats.org/officeDocument/2006/relationships/chart" Target="charts/chart38.xml"/><Relationship Id="rId58" Type="http://schemas.openxmlformats.org/officeDocument/2006/relationships/chart" Target="charts/chart37.xml"/><Relationship Id="rId57" Type="http://schemas.openxmlformats.org/officeDocument/2006/relationships/chart" Target="charts/chart36.xml"/><Relationship Id="rId56" Type="http://schemas.openxmlformats.org/officeDocument/2006/relationships/chart" Target="charts/chart35.xml"/><Relationship Id="rId55" Type="http://schemas.openxmlformats.org/officeDocument/2006/relationships/chart" Target="charts/chart34.xml"/><Relationship Id="rId54" Type="http://schemas.openxmlformats.org/officeDocument/2006/relationships/chart" Target="charts/chart33.xml"/><Relationship Id="rId53" Type="http://schemas.openxmlformats.org/officeDocument/2006/relationships/chart" Target="charts/chart32.xml"/><Relationship Id="rId52" Type="http://schemas.openxmlformats.org/officeDocument/2006/relationships/chart" Target="charts/chart31.xml"/><Relationship Id="rId51" Type="http://schemas.openxmlformats.org/officeDocument/2006/relationships/chart" Target="charts/chart30.xml"/><Relationship Id="rId50" Type="http://schemas.openxmlformats.org/officeDocument/2006/relationships/chart" Target="charts/chart29.xml"/><Relationship Id="rId5" Type="http://schemas.openxmlformats.org/officeDocument/2006/relationships/footer" Target="footer1.xml"/><Relationship Id="rId49" Type="http://schemas.openxmlformats.org/officeDocument/2006/relationships/image" Target="media/image14.png"/><Relationship Id="rId48" Type="http://schemas.openxmlformats.org/officeDocument/2006/relationships/chart" Target="charts/chart28.xml"/><Relationship Id="rId47" Type="http://schemas.openxmlformats.org/officeDocument/2006/relationships/chart" Target="charts/chart27.xml"/><Relationship Id="rId46" Type="http://schemas.openxmlformats.org/officeDocument/2006/relationships/chart" Target="charts/chart26.xml"/><Relationship Id="rId45" Type="http://schemas.openxmlformats.org/officeDocument/2006/relationships/chart" Target="charts/chart25.xml"/><Relationship Id="rId44" Type="http://schemas.openxmlformats.org/officeDocument/2006/relationships/image" Target="media/image13.png"/><Relationship Id="rId43" Type="http://schemas.openxmlformats.org/officeDocument/2006/relationships/image" Target="media/image12.png"/><Relationship Id="rId42" Type="http://schemas.openxmlformats.org/officeDocument/2006/relationships/chart" Target="charts/chart24.xml"/><Relationship Id="rId41" Type="http://schemas.openxmlformats.org/officeDocument/2006/relationships/chart" Target="charts/chart23.xml"/><Relationship Id="rId40" Type="http://schemas.openxmlformats.org/officeDocument/2006/relationships/chart" Target="charts/chart22.xml"/><Relationship Id="rId4" Type="http://schemas.openxmlformats.org/officeDocument/2006/relationships/header" Target="header1.xml"/><Relationship Id="rId39" Type="http://schemas.openxmlformats.org/officeDocument/2006/relationships/chart" Target="charts/chart21.xml"/><Relationship Id="rId38" Type="http://schemas.openxmlformats.org/officeDocument/2006/relationships/chart" Target="charts/chart20.xml"/><Relationship Id="rId37" Type="http://schemas.openxmlformats.org/officeDocument/2006/relationships/chart" Target="charts/chart19.xml"/><Relationship Id="rId36" Type="http://schemas.openxmlformats.org/officeDocument/2006/relationships/chart" Target="charts/chart18.xml"/><Relationship Id="rId35" Type="http://schemas.openxmlformats.org/officeDocument/2006/relationships/chart" Target="charts/chart17.xml"/><Relationship Id="rId34" Type="http://schemas.openxmlformats.org/officeDocument/2006/relationships/chart" Target="charts/chart16.xml"/><Relationship Id="rId33" Type="http://schemas.openxmlformats.org/officeDocument/2006/relationships/chart" Target="charts/chart15.xml"/><Relationship Id="rId32" Type="http://schemas.openxmlformats.org/officeDocument/2006/relationships/chart" Target="charts/chart14.xml"/><Relationship Id="rId31" Type="http://schemas.openxmlformats.org/officeDocument/2006/relationships/chart" Target="charts/chart13.xml"/><Relationship Id="rId30" Type="http://schemas.openxmlformats.org/officeDocument/2006/relationships/chart" Target="charts/chart12.xml"/><Relationship Id="rId3" Type="http://schemas.openxmlformats.org/officeDocument/2006/relationships/footnotes" Target="footnotes.xml"/><Relationship Id="rId29" Type="http://schemas.openxmlformats.org/officeDocument/2006/relationships/chart" Target="charts/chart11.xml"/><Relationship Id="rId28" Type="http://schemas.openxmlformats.org/officeDocument/2006/relationships/chart" Target="charts/chart10.xml"/><Relationship Id="rId27" Type="http://schemas.openxmlformats.org/officeDocument/2006/relationships/image" Target="media/image11.png"/><Relationship Id="rId26" Type="http://schemas.openxmlformats.org/officeDocument/2006/relationships/chart" Target="charts/chart9.xml"/><Relationship Id="rId25" Type="http://schemas.openxmlformats.org/officeDocument/2006/relationships/image" Target="media/image10.png"/><Relationship Id="rId24" Type="http://schemas.openxmlformats.org/officeDocument/2006/relationships/image" Target="media/image9.png"/><Relationship Id="rId23" Type="http://schemas.openxmlformats.org/officeDocument/2006/relationships/chart" Target="charts/chart8.xml"/><Relationship Id="rId22" Type="http://schemas.openxmlformats.org/officeDocument/2006/relationships/chart" Target="charts/chart7.xml"/><Relationship Id="rId21" Type="http://schemas.openxmlformats.org/officeDocument/2006/relationships/chart" Target="charts/chart6.xml"/><Relationship Id="rId20" Type="http://schemas.openxmlformats.org/officeDocument/2006/relationships/chart" Target="charts/chart5.xml"/><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chart" Target="charts/chart4.xml"/><Relationship Id="rId17" Type="http://schemas.openxmlformats.org/officeDocument/2006/relationships/chart" Target="charts/chart3.xml"/><Relationship Id="rId16" Type="http://schemas.openxmlformats.org/officeDocument/2006/relationships/chart" Target="charts/chart2.xml"/><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9977;&#26376;\Desktop\&#25991;&#20214;\&#25968;&#25454;&#349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9977;&#26376;\Desktop\&#24037;&#20316;&#31807;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9977;&#26376;\Desktop\&#24037;&#20316;&#31807;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9977;&#26376;\Desktop\&#24037;&#20316;&#31807;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19977;&#26376;\Desktop\&#24037;&#20316;&#31807;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19977;&#26376;\Desktop\&#24037;&#20316;&#31807;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19977;&#26376;\Desktop\&#24037;&#20316;&#31807;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19977;&#26376;\Desktop\&#24037;&#20316;&#31807;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19977;&#26376;\Desktop\&#24037;&#20316;&#31807;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19977;&#26376;\Desktop\&#24037;&#20316;&#31807;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9977;&#26376;\Desktop\&#28151;&#21512;\&#30707;&#23478;&#24196;&#24037;&#31243;&#32844;&#19994;&#23398;&#38498;%20(2)\&#30707;&#23478;&#24196;&#24037;&#31243;&#32844;&#19994;&#23398;&#38498;&#25968;&#25454;.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19977;&#26376;\Desktop\&#24037;&#20316;&#31807;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19977;&#26376;\Desktop\&#24037;&#20316;&#31807;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19977;&#26376;\Desktop\&#24037;&#20316;&#31807;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19977;&#26376;\Desktop\&#24037;&#20316;&#31807;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19977;&#26376;\Desktop\&#24037;&#20316;&#31807;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19977;&#26376;\Desktop\&#24037;&#20316;&#31807;1.xlsx" TargetMode="External"/></Relationships>
</file>

<file path=word/charts/_rels/chart26.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NULL"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19977;&#26376;\Desktop\&#24037;&#20316;&#31807;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19977;&#26376;\Desktop\&#20070;&#35760;.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19977;&#26376;\Desktop\&#20462;&#25913;&#30340;&#2227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9977;&#26376;\Desktop\&#28151;&#21512;\&#30707;&#23478;&#24196;&#24037;&#31243;&#32844;&#19994;&#23398;&#38498;%20(2)\&#30707;&#23478;&#24196;&#24037;&#31243;&#32844;&#19994;&#23398;&#38498;&#25968;&#25454;.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19977;&#26376;\Desktop\&#20070;&#3576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19977;&#26376;\Desktop\&#20070;&#35760;.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19977;&#26376;\Desktop\&#20070;&#35760;.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19977;&#26376;\Desktop\&#20070;&#35760;.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19977;&#26376;\Desktop\&#20070;&#3576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19977;&#26376;\Desktop\&#20070;&#3576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19977;&#26376;\Desktop\&#20070;&#35760;.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19977;&#26376;\Desktop\&#20070;&#35760;.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19977;&#26376;\Desktop\&#20070;&#35760;.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19977;&#26376;\Desktop\&#20070;&#3576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4.xlsx"/></Relationships>
</file>

<file path=word/charts/_rels/chart40.xml.rels><?xml version="1.0" encoding="UTF-8" standalone="yes"?>
<Relationships xmlns="http://schemas.openxmlformats.org/package/2006/relationships"><Relationship Id="rId1" Type="http://schemas.openxmlformats.org/officeDocument/2006/relationships/oleObject" Target="file:///C:\Users\&#19977;&#26376;\Desktop\&#20070;&#35760;.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19977;&#26376;\Desktop\&#20070;&#35760;.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19977;&#26376;\Desktop\&#20462;&#25913;&#30340;&#22270;.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19977;&#26376;\Desktop\&#20462;&#25913;&#30340;&#22270;.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19977;&#26376;\Desktop\&#20462;&#25913;&#30340;&#22270;.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82331774019431"/>
          <c:y val="0.0140687571212495"/>
          <c:w val="0.903606975077634"/>
          <c:h val="0.908231797919762"/>
        </c:manualLayout>
      </c:layout>
      <c:barChart>
        <c:barDir val="bar"/>
        <c:grouping val="clustered"/>
        <c:varyColors val="0"/>
        <c:ser>
          <c:idx val="0"/>
          <c:order val="0"/>
          <c:tx>
            <c:strRef>
              <c:f>[数据表.xlsx]Sheet3!$B$3:$B$4</c:f>
              <c:strCache>
                <c:ptCount val="1"/>
                <c:pt idx="0">
                  <c:v>本科生毕业</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宋体" panose="02010600030101010101" charset="-122"/>
                    <a:ea typeface="宋体" panose="02010600030101010101" charset="-122"/>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[数据表.xlsx]Sheet3!$A$5:$A$18</c:f>
              <c:strCache>
                <c:ptCount val="13"/>
                <c:pt idx="0">
                  <c:v>藏族</c:v>
                </c:pt>
                <c:pt idx="1">
                  <c:v>朝鲜族</c:v>
                </c:pt>
                <c:pt idx="2">
                  <c:v>侗族</c:v>
                </c:pt>
                <c:pt idx="3">
                  <c:v>哈萨克族</c:v>
                </c:pt>
                <c:pt idx="4">
                  <c:v>蒙古族</c:v>
                </c:pt>
                <c:pt idx="5">
                  <c:v>苗族</c:v>
                </c:pt>
                <c:pt idx="6">
                  <c:v>畲族</c:v>
                </c:pt>
                <c:pt idx="7">
                  <c:v>土家族</c:v>
                </c:pt>
                <c:pt idx="8">
                  <c:v>瑶族</c:v>
                </c:pt>
                <c:pt idx="9">
                  <c:v>壮族</c:v>
                </c:pt>
                <c:pt idx="10">
                  <c:v>回族</c:v>
                </c:pt>
                <c:pt idx="11">
                  <c:v>满族</c:v>
                </c:pt>
                <c:pt idx="12">
                  <c:v>汉族</c:v>
                </c:pt>
              </c:strCache>
            </c:strRef>
          </c:cat>
          <c:val>
            <c:numRef>
              <c:f>[数据表.xlsx]Sheet3!$B$5:$B$18</c:f>
              <c:numCache>
                <c:formatCode>General</c:formatCode>
                <c:ptCount val="13"/>
                <c:pt idx="0">
                  <c:v>1</c:v>
                </c:pt>
                <c:pt idx="1">
                  <c:v>1</c:v>
                </c:pt>
                <c:pt idx="2">
                  <c:v>2</c:v>
                </c:pt>
                <c:pt idx="3">
                  <c:v>1</c:v>
                </c:pt>
                <c:pt idx="4">
                  <c:v>17</c:v>
                </c:pt>
                <c:pt idx="5">
                  <c:v>4</c:v>
                </c:pt>
                <c:pt idx="6">
                  <c:v>1</c:v>
                </c:pt>
                <c:pt idx="7">
                  <c:v>3</c:v>
                </c:pt>
                <c:pt idx="8">
                  <c:v>4</c:v>
                </c:pt>
                <c:pt idx="9">
                  <c:v>6</c:v>
                </c:pt>
                <c:pt idx="10">
                  <c:v>41</c:v>
                </c:pt>
                <c:pt idx="11">
                  <c:v>130</c:v>
                </c:pt>
                <c:pt idx="12">
                  <c:v>2889</c:v>
                </c:pt>
              </c:numCache>
            </c:numRef>
          </c:val>
        </c:ser>
        <c:ser>
          <c:idx val="1"/>
          <c:order val="1"/>
          <c:tx>
            <c:strRef>
              <c:f>[数据表.xlsx]Sheet3!$C$3:$C$4</c:f>
              <c:strCache>
                <c:ptCount val="1"/>
                <c:pt idx="0">
                  <c:v>专科生毕业</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宋体" panose="02010600030101010101" charset="-122"/>
                    <a:ea typeface="宋体" panose="02010600030101010101" charset="-122"/>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[数据表.xlsx]Sheet3!$A$5:$A$18</c:f>
              <c:strCache>
                <c:ptCount val="13"/>
                <c:pt idx="0">
                  <c:v>藏族</c:v>
                </c:pt>
                <c:pt idx="1">
                  <c:v>朝鲜族</c:v>
                </c:pt>
                <c:pt idx="2">
                  <c:v>侗族</c:v>
                </c:pt>
                <c:pt idx="3">
                  <c:v>哈萨克族</c:v>
                </c:pt>
                <c:pt idx="4">
                  <c:v>蒙古族</c:v>
                </c:pt>
                <c:pt idx="5">
                  <c:v>苗族</c:v>
                </c:pt>
                <c:pt idx="6">
                  <c:v>畲族</c:v>
                </c:pt>
                <c:pt idx="7">
                  <c:v>土家族</c:v>
                </c:pt>
                <c:pt idx="8">
                  <c:v>瑶族</c:v>
                </c:pt>
                <c:pt idx="9">
                  <c:v>壮族</c:v>
                </c:pt>
                <c:pt idx="10">
                  <c:v>回族</c:v>
                </c:pt>
                <c:pt idx="11">
                  <c:v>满族</c:v>
                </c:pt>
                <c:pt idx="12">
                  <c:v>汉族</c:v>
                </c:pt>
              </c:strCache>
            </c:strRef>
          </c:cat>
          <c:val>
            <c:numRef>
              <c:f>[数据表.xlsx]Sheet3!$C$5:$C$18</c:f>
              <c:numCache>
                <c:formatCode>General</c:formatCode>
                <c:ptCount val="13"/>
                <c:pt idx="4">
                  <c:v>5</c:v>
                </c:pt>
                <c:pt idx="10">
                  <c:v>12</c:v>
                </c:pt>
                <c:pt idx="11">
                  <c:v>36</c:v>
                </c:pt>
                <c:pt idx="12">
                  <c:v>640</c:v>
                </c:pt>
              </c:numCache>
            </c:numRef>
          </c:val>
        </c:ser>
        <c:dLbls>
          <c:showLegendKey val="0"/>
          <c:showVal val="1"/>
          <c:showCatName val="0"/>
          <c:showSerName val="0"/>
          <c:showPercent val="0"/>
          <c:showBubbleSize val="0"/>
        </c:dLbls>
        <c:gapWidth val="182"/>
        <c:axId val="142901632"/>
        <c:axId val="256998784"/>
      </c:barChart>
      <c:catAx>
        <c:axId val="142901632"/>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0" i="0" u="none" strike="noStrike" kern="1200" baseline="0">
                <a:solidFill>
                  <a:schemeClr val="tx1"/>
                </a:solidFill>
                <a:latin typeface="宋体" panose="02010600030101010101" charset="-122"/>
                <a:ea typeface="宋体" panose="02010600030101010101" charset="-122"/>
                <a:cs typeface="+mn-cs"/>
              </a:defRPr>
            </a:pPr>
          </a:p>
        </c:txPr>
        <c:crossAx val="256998784"/>
        <c:crosses val="autoZero"/>
        <c:auto val="1"/>
        <c:lblAlgn val="ctr"/>
        <c:lblOffset val="100"/>
        <c:noMultiLvlLbl val="0"/>
      </c:catAx>
      <c:valAx>
        <c:axId val="25699878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1000" b="0" i="0" u="none" strike="noStrike" kern="1200" baseline="0">
                <a:solidFill>
                  <a:schemeClr val="tx1"/>
                </a:solidFill>
                <a:latin typeface="宋体" panose="02010600030101010101" charset="-122"/>
                <a:ea typeface="宋体" panose="02010600030101010101" charset="-122"/>
                <a:cs typeface="+mn-cs"/>
              </a:defRPr>
            </a:pPr>
          </a:p>
        </c:txPr>
        <c:crossAx val="142901632"/>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tx1"/>
              </a:solidFill>
              <a:latin typeface="宋体" panose="02010600030101010101" charset="-122"/>
              <a:ea typeface="宋体" panose="02010600030101010101" charset="-122"/>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latin typeface="宋体" panose="02010600030101010101" charset="-122"/>
          <a:ea typeface="宋体" panose="02010600030101010101" charset="-122"/>
        </a:defRPr>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pivotSource>
    <c:name>[工作簿1]Sheet1!数据透视表1</c:name>
    <c:fmtId val="-1"/>
  </c:pivotSource>
  <c:chart>
    <c:autoTitleDeleted val="1"/>
    <c:plotArea>
      <c:layout>
        <c:manualLayout>
          <c:layoutTarget val="inner"/>
          <c:xMode val="edge"/>
          <c:yMode val="edge"/>
          <c:x val="0.158574874371859"/>
          <c:y val="0.0947617794156357"/>
          <c:w val="0.741852261306533"/>
          <c:h val="0.493603579889445"/>
        </c:manualLayout>
      </c:layout>
      <c:barChart>
        <c:barDir val="col"/>
        <c:grouping val="clustered"/>
        <c:varyColors val="0"/>
        <c:ser>
          <c:idx val="0"/>
          <c:order val="0"/>
          <c:tx>
            <c:strRef>
              <c:f>[工作簿1]Sheet1!$C$19</c:f>
              <c:strCache>
                <c:ptCount val="1"/>
                <c:pt idx="0">
                  <c:v> 人数</c:v>
                </c:pt>
              </c:strCache>
            </c:strRef>
          </c:tx>
          <c:spPr>
            <a:solidFill>
              <a:schemeClr val="accent1"/>
            </a:solidFill>
            <a:ln>
              <a:noFill/>
            </a:ln>
            <a:effectLst/>
          </c:spPr>
          <c:invertIfNegative val="0"/>
          <c:dLbls>
            <c:delete val="1"/>
          </c:dLbls>
          <c:cat>
            <c:strRef>
              <c:f>[工作簿1]Sheet1!$B$20:$B$33</c:f>
              <c:strCache>
                <c:ptCount val="13"/>
                <c:pt idx="0">
                  <c:v>签署三方协议</c:v>
                </c:pt>
                <c:pt idx="1">
                  <c:v>签订劳动合同</c:v>
                </c:pt>
                <c:pt idx="2">
                  <c:v>单位开具用人证明</c:v>
                </c:pt>
                <c:pt idx="3">
                  <c:v>自由职业</c:v>
                </c:pt>
                <c:pt idx="4">
                  <c:v>志愿者</c:v>
                </c:pt>
                <c:pt idx="5">
                  <c:v>参军入伍</c:v>
                </c:pt>
                <c:pt idx="6">
                  <c:v>自主创业</c:v>
                </c:pt>
                <c:pt idx="7">
                  <c:v>国内升学</c:v>
                </c:pt>
                <c:pt idx="8">
                  <c:v>出国留学</c:v>
                </c:pt>
                <c:pt idx="9">
                  <c:v>拟出国，不就业</c:v>
                </c:pt>
                <c:pt idx="10">
                  <c:v>拟升学，不就业</c:v>
                </c:pt>
                <c:pt idx="11">
                  <c:v>求职中</c:v>
                </c:pt>
                <c:pt idx="12">
                  <c:v>暂不就业</c:v>
                </c:pt>
              </c:strCache>
            </c:strRef>
          </c:cat>
          <c:val>
            <c:numRef>
              <c:f>[工作簿1]Sheet1!$C$20:$C$33</c:f>
              <c:numCache>
                <c:formatCode>General</c:formatCode>
                <c:ptCount val="13"/>
                <c:pt idx="0">
                  <c:v>22</c:v>
                </c:pt>
                <c:pt idx="1">
                  <c:v>781</c:v>
                </c:pt>
                <c:pt idx="2">
                  <c:v>78</c:v>
                </c:pt>
                <c:pt idx="3">
                  <c:v>195</c:v>
                </c:pt>
                <c:pt idx="4">
                  <c:v>14</c:v>
                </c:pt>
                <c:pt idx="5">
                  <c:v>7</c:v>
                </c:pt>
                <c:pt idx="6">
                  <c:v>61</c:v>
                </c:pt>
                <c:pt idx="7">
                  <c:v>72</c:v>
                </c:pt>
                <c:pt idx="8">
                  <c:v>8</c:v>
                </c:pt>
                <c:pt idx="9">
                  <c:v>4</c:v>
                </c:pt>
                <c:pt idx="10">
                  <c:v>9</c:v>
                </c:pt>
                <c:pt idx="11">
                  <c:v>58</c:v>
                </c:pt>
                <c:pt idx="12">
                  <c:v>8</c:v>
                </c:pt>
              </c:numCache>
            </c:numRef>
          </c:val>
        </c:ser>
        <c:dLbls>
          <c:showLegendKey val="0"/>
          <c:showVal val="0"/>
          <c:showCatName val="0"/>
          <c:showSerName val="0"/>
          <c:showPercent val="0"/>
          <c:showBubbleSize val="0"/>
        </c:dLbls>
        <c:gapWidth val="219"/>
        <c:overlap val="-27"/>
        <c:axId val="142026624"/>
        <c:axId val="142065664"/>
      </c:barChart>
      <c:lineChart>
        <c:grouping val="stacked"/>
        <c:varyColors val="0"/>
        <c:ser>
          <c:idx val="1"/>
          <c:order val="1"/>
          <c:tx>
            <c:strRef>
              <c:f>[工作簿1]Sheet1!$D$19</c:f>
              <c:strCache>
                <c:ptCount val="1"/>
                <c:pt idx="0">
                  <c:v>百分比</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elete val="1"/>
          </c:dLbls>
          <c:cat>
            <c:strRef>
              <c:f>[工作簿1]Sheet1!$B$20:$B$33</c:f>
              <c:strCache>
                <c:ptCount val="13"/>
                <c:pt idx="0">
                  <c:v>签署三方协议</c:v>
                </c:pt>
                <c:pt idx="1">
                  <c:v>签订劳动合同</c:v>
                </c:pt>
                <c:pt idx="2">
                  <c:v>单位开具用人证明</c:v>
                </c:pt>
                <c:pt idx="3">
                  <c:v>自由职业</c:v>
                </c:pt>
                <c:pt idx="4">
                  <c:v>志愿者</c:v>
                </c:pt>
                <c:pt idx="5">
                  <c:v>参军入伍</c:v>
                </c:pt>
                <c:pt idx="6">
                  <c:v>自主创业</c:v>
                </c:pt>
                <c:pt idx="7">
                  <c:v>国内升学</c:v>
                </c:pt>
                <c:pt idx="8">
                  <c:v>出国留学</c:v>
                </c:pt>
                <c:pt idx="9">
                  <c:v>拟出国，不就业</c:v>
                </c:pt>
                <c:pt idx="10">
                  <c:v>拟升学，不就业</c:v>
                </c:pt>
                <c:pt idx="11">
                  <c:v>求职中</c:v>
                </c:pt>
                <c:pt idx="12">
                  <c:v>暂不就业</c:v>
                </c:pt>
              </c:strCache>
            </c:strRef>
          </c:cat>
          <c:val>
            <c:numRef>
              <c:f>[工作簿1]Sheet1!$D$20:$D$33</c:f>
              <c:numCache>
                <c:formatCode>0.00%</c:formatCode>
                <c:ptCount val="13"/>
                <c:pt idx="0">
                  <c:v>0.0167046317388003</c:v>
                </c:pt>
                <c:pt idx="1">
                  <c:v>0.593014426727411</c:v>
                </c:pt>
                <c:pt idx="2">
                  <c:v>0.0592255125284738</c:v>
                </c:pt>
                <c:pt idx="3">
                  <c:v>0.148063781321185</c:v>
                </c:pt>
                <c:pt idx="4">
                  <c:v>0.0106302201974184</c:v>
                </c:pt>
                <c:pt idx="5">
                  <c:v>0.00531511009870919</c:v>
                </c:pt>
                <c:pt idx="6">
                  <c:v>0.0463173880030372</c:v>
                </c:pt>
                <c:pt idx="7">
                  <c:v>0.0546697038724374</c:v>
                </c:pt>
                <c:pt idx="8">
                  <c:v>0.00607441154138193</c:v>
                </c:pt>
                <c:pt idx="9">
                  <c:v>0.00303720577069096</c:v>
                </c:pt>
                <c:pt idx="10">
                  <c:v>0.00683371298405467</c:v>
                </c:pt>
                <c:pt idx="11">
                  <c:v>0.044039483675019</c:v>
                </c:pt>
                <c:pt idx="12">
                  <c:v>0.00607441154138193</c:v>
                </c:pt>
              </c:numCache>
            </c:numRef>
          </c:val>
          <c:smooth val="0"/>
        </c:ser>
        <c:dLbls>
          <c:showLegendKey val="0"/>
          <c:showVal val="0"/>
          <c:showCatName val="0"/>
          <c:showSerName val="0"/>
          <c:showPercent val="0"/>
          <c:showBubbleSize val="0"/>
        </c:dLbls>
        <c:marker val="1"/>
        <c:smooth val="0"/>
        <c:axId val="142067200"/>
        <c:axId val="142068736"/>
      </c:lineChart>
      <c:catAx>
        <c:axId val="14202662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42065664"/>
        <c:crosses val="autoZero"/>
        <c:auto val="1"/>
        <c:lblAlgn val="ctr"/>
        <c:lblOffset val="100"/>
        <c:noMultiLvlLbl val="0"/>
      </c:catAx>
      <c:valAx>
        <c:axId val="1420656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42026624"/>
        <c:crosses val="autoZero"/>
        <c:crossBetween val="between"/>
      </c:valAx>
      <c:catAx>
        <c:axId val="142067200"/>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142068736"/>
        <c:crosses val="autoZero"/>
        <c:auto val="1"/>
        <c:lblAlgn val="ctr"/>
        <c:lblOffset val="100"/>
        <c:noMultiLvlLbl val="0"/>
      </c:catAx>
      <c:valAx>
        <c:axId val="142068736"/>
        <c:scaling>
          <c:orientation val="minMax"/>
        </c:scaling>
        <c:delete val="0"/>
        <c:axPos val="r"/>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42067200"/>
        <c:crosses val="max"/>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ysClr val="windowText" lastClr="000000"/>
          </a:solidFill>
        </a:defRPr>
      </a:pPr>
    </a:p>
  </c:txPr>
  <c:externalData r:id="rId1">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422651933702"/>
          <c:y val="0.0509259259259259"/>
          <c:w val="0.740348066298342"/>
          <c:h val="0.653055555555556"/>
        </c:manualLayout>
      </c:layout>
      <c:barChart>
        <c:barDir val="col"/>
        <c:grouping val="clustered"/>
        <c:varyColors val="0"/>
        <c:ser>
          <c:idx val="0"/>
          <c:order val="0"/>
          <c:tx>
            <c:strRef>
              <c:f>[工作簿1.xlsx]Sheet9!$E$32</c:f>
              <c:strCache>
                <c:ptCount val="1"/>
                <c:pt idx="0">
                  <c:v>人数 </c:v>
                </c:pt>
              </c:strCache>
            </c:strRef>
          </c:tx>
          <c:spPr>
            <a:solidFill>
              <a:schemeClr val="accent1"/>
            </a:solidFill>
            <a:ln>
              <a:noFill/>
            </a:ln>
            <a:effectLst/>
          </c:spPr>
          <c:invertIfNegative val="0"/>
          <c:dLbls>
            <c:delete val="1"/>
          </c:dLbls>
          <c:cat>
            <c:strRef>
              <c:f>[工作簿1.xlsx]Sheet9!$D$33:$D$38</c:f>
              <c:strCache>
                <c:ptCount val="5"/>
                <c:pt idx="0">
                  <c:v>自主选择</c:v>
                </c:pt>
                <c:pt idx="1">
                  <c:v>听从父母意见</c:v>
                </c:pt>
                <c:pt idx="2">
                  <c:v>他人推荐（除父母外）</c:v>
                </c:pt>
                <c:pt idx="3">
                  <c:v>专业调剂</c:v>
                </c:pt>
                <c:pt idx="4">
                  <c:v>其他</c:v>
                </c:pt>
              </c:strCache>
            </c:strRef>
          </c:cat>
          <c:val>
            <c:numRef>
              <c:f>[工作簿1.xlsx]Sheet9!$E$33:$E$38</c:f>
              <c:numCache>
                <c:formatCode>General</c:formatCode>
                <c:ptCount val="5"/>
                <c:pt idx="0">
                  <c:v>1060</c:v>
                </c:pt>
                <c:pt idx="1">
                  <c:v>115</c:v>
                </c:pt>
                <c:pt idx="2">
                  <c:v>69</c:v>
                </c:pt>
                <c:pt idx="3">
                  <c:v>43</c:v>
                </c:pt>
                <c:pt idx="4">
                  <c:v>30</c:v>
                </c:pt>
              </c:numCache>
            </c:numRef>
          </c:val>
        </c:ser>
        <c:dLbls>
          <c:showLegendKey val="0"/>
          <c:showVal val="0"/>
          <c:showCatName val="0"/>
          <c:showSerName val="0"/>
          <c:showPercent val="0"/>
          <c:showBubbleSize val="0"/>
        </c:dLbls>
        <c:gapWidth val="219"/>
        <c:overlap val="-27"/>
        <c:axId val="142878592"/>
        <c:axId val="142880128"/>
      </c:barChart>
      <c:lineChart>
        <c:grouping val="standard"/>
        <c:varyColors val="0"/>
        <c:ser>
          <c:idx val="1"/>
          <c:order val="1"/>
          <c:tx>
            <c:strRef>
              <c:f>[工作簿1.xlsx]Sheet9!$F$32</c:f>
              <c:strCache>
                <c:ptCount val="1"/>
                <c:pt idx="0">
                  <c:v>百分比</c:v>
                </c:pt>
              </c:strCache>
            </c:strRef>
          </c:tx>
          <c:spPr>
            <a:ln w="28575" cap="rnd" cmpd="sng" algn="ctr">
              <a:solidFill>
                <a:schemeClr val="accent2"/>
              </a:solidFill>
              <a:prstDash val="solid"/>
              <a:round/>
            </a:ln>
            <a:effectLst/>
          </c:spPr>
          <c:marker>
            <c:symbol val="none"/>
          </c:marker>
          <c:dLbls>
            <c:delete val="1"/>
          </c:dLbls>
          <c:cat>
            <c:strRef>
              <c:f>[工作簿1.xlsx]Sheet9!$D$33:$D$38</c:f>
              <c:strCache>
                <c:ptCount val="5"/>
                <c:pt idx="0">
                  <c:v>自主选择</c:v>
                </c:pt>
                <c:pt idx="1">
                  <c:v>听从父母意见</c:v>
                </c:pt>
                <c:pt idx="2">
                  <c:v>他人推荐（除父母外）</c:v>
                </c:pt>
                <c:pt idx="3">
                  <c:v>专业调剂</c:v>
                </c:pt>
                <c:pt idx="4">
                  <c:v>其他</c:v>
                </c:pt>
              </c:strCache>
            </c:strRef>
          </c:cat>
          <c:val>
            <c:numRef>
              <c:f>[工作簿1.xlsx]Sheet9!$F$33:$F$38</c:f>
              <c:numCache>
                <c:formatCode>0.00%</c:formatCode>
                <c:ptCount val="5"/>
                <c:pt idx="0">
                  <c:v>0.804859529233106</c:v>
                </c:pt>
                <c:pt idx="1">
                  <c:v>0.0873196659073652</c:v>
                </c:pt>
                <c:pt idx="2">
                  <c:v>0.0523917995444191</c:v>
                </c:pt>
                <c:pt idx="3">
                  <c:v>0.0326499620349279</c:v>
                </c:pt>
                <c:pt idx="4">
                  <c:v>0.0227790432801822</c:v>
                </c:pt>
              </c:numCache>
            </c:numRef>
          </c:val>
          <c:smooth val="0"/>
        </c:ser>
        <c:dLbls>
          <c:showLegendKey val="0"/>
          <c:showVal val="0"/>
          <c:showCatName val="0"/>
          <c:showSerName val="0"/>
          <c:showPercent val="0"/>
          <c:showBubbleSize val="0"/>
        </c:dLbls>
        <c:marker val="0"/>
        <c:smooth val="0"/>
        <c:axId val="142890112"/>
        <c:axId val="142891648"/>
      </c:lineChart>
      <c:catAx>
        <c:axId val="14287859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42880128"/>
        <c:crosses val="autoZero"/>
        <c:auto val="1"/>
        <c:lblAlgn val="ctr"/>
        <c:lblOffset val="100"/>
        <c:noMultiLvlLbl val="0"/>
      </c:catAx>
      <c:valAx>
        <c:axId val="1428801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42878592"/>
        <c:crosses val="autoZero"/>
        <c:crossBetween val="between"/>
      </c:valAx>
      <c:catAx>
        <c:axId val="142890112"/>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142891648"/>
        <c:crosses val="autoZero"/>
        <c:auto val="1"/>
        <c:lblAlgn val="ctr"/>
        <c:lblOffset val="100"/>
        <c:noMultiLvlLbl val="0"/>
      </c:catAx>
      <c:valAx>
        <c:axId val="142891648"/>
        <c:scaling>
          <c:orientation val="minMax"/>
        </c:scaling>
        <c:delete val="0"/>
        <c:axPos val="r"/>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42890112"/>
        <c:crosses val="max"/>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ysClr val="windowText" lastClr="000000"/>
          </a:solidFill>
        </a:defRPr>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[工作簿1.xlsx]Sheet10!$E$1</c:f>
              <c:strCache>
                <c:ptCount val="1"/>
                <c:pt idx="0">
                  <c:v>人数 </c:v>
                </c:pt>
              </c:strCache>
            </c:strRef>
          </c:tx>
          <c:spPr>
            <a:solidFill>
              <a:schemeClr val="accent1"/>
            </a:solidFill>
            <a:ln>
              <a:noFill/>
            </a:ln>
            <a:effectLst/>
          </c:spPr>
          <c:invertIfNegative val="0"/>
          <c:dLbls>
            <c:delete val="1"/>
          </c:dLbls>
          <c:cat>
            <c:strRef>
              <c:f>[工作簿1.xlsx]Sheet10!$D$2:$D$7</c:f>
              <c:strCache>
                <c:ptCount val="5"/>
                <c:pt idx="0">
                  <c:v>很喜欢</c:v>
                </c:pt>
                <c:pt idx="1">
                  <c:v>喜欢</c:v>
                </c:pt>
                <c:pt idx="2">
                  <c:v>不好说</c:v>
                </c:pt>
                <c:pt idx="3">
                  <c:v>不喜欢</c:v>
                </c:pt>
                <c:pt idx="4">
                  <c:v>很不喜欢</c:v>
                </c:pt>
              </c:strCache>
            </c:strRef>
          </c:cat>
          <c:val>
            <c:numRef>
              <c:f>[工作簿1.xlsx]Sheet10!$E$2:$E$7</c:f>
              <c:numCache>
                <c:formatCode>General</c:formatCode>
                <c:ptCount val="5"/>
                <c:pt idx="0">
                  <c:v>382</c:v>
                </c:pt>
                <c:pt idx="1">
                  <c:v>595</c:v>
                </c:pt>
                <c:pt idx="2">
                  <c:v>301</c:v>
                </c:pt>
                <c:pt idx="3">
                  <c:v>26</c:v>
                </c:pt>
                <c:pt idx="4">
                  <c:v>13</c:v>
                </c:pt>
              </c:numCache>
            </c:numRef>
          </c:val>
        </c:ser>
        <c:dLbls>
          <c:showLegendKey val="0"/>
          <c:showVal val="0"/>
          <c:showCatName val="0"/>
          <c:showSerName val="0"/>
          <c:showPercent val="0"/>
          <c:showBubbleSize val="0"/>
        </c:dLbls>
        <c:gapWidth val="219"/>
        <c:overlap val="-27"/>
        <c:axId val="142931456"/>
        <c:axId val="142932992"/>
      </c:barChart>
      <c:lineChart>
        <c:grouping val="standard"/>
        <c:varyColors val="0"/>
        <c:ser>
          <c:idx val="1"/>
          <c:order val="1"/>
          <c:tx>
            <c:strRef>
              <c:f>[工作簿1.xlsx]Sheet10!$F$1</c:f>
              <c:strCache>
                <c:ptCount val="1"/>
                <c:pt idx="0">
                  <c:v>百分比</c:v>
                </c:pt>
              </c:strCache>
            </c:strRef>
          </c:tx>
          <c:spPr>
            <a:ln w="28575" cap="rnd" cmpd="sng" algn="ctr">
              <a:solidFill>
                <a:schemeClr val="accent2"/>
              </a:solidFill>
              <a:prstDash val="solid"/>
              <a:round/>
            </a:ln>
            <a:effectLst/>
          </c:spPr>
          <c:marker>
            <c:symbol val="none"/>
          </c:marker>
          <c:dLbls>
            <c:delete val="1"/>
          </c:dLbls>
          <c:cat>
            <c:strRef>
              <c:f>[工作簿1.xlsx]Sheet10!$D$2:$D$7</c:f>
              <c:strCache>
                <c:ptCount val="5"/>
                <c:pt idx="0">
                  <c:v>很喜欢</c:v>
                </c:pt>
                <c:pt idx="1">
                  <c:v>喜欢</c:v>
                </c:pt>
                <c:pt idx="2">
                  <c:v>不好说</c:v>
                </c:pt>
                <c:pt idx="3">
                  <c:v>不喜欢</c:v>
                </c:pt>
                <c:pt idx="4">
                  <c:v>很不喜欢</c:v>
                </c:pt>
              </c:strCache>
            </c:strRef>
          </c:cat>
          <c:val>
            <c:numRef>
              <c:f>[工作簿1.xlsx]Sheet10!$F$2:$F$7</c:f>
              <c:numCache>
                <c:formatCode>0.00%</c:formatCode>
                <c:ptCount val="5"/>
                <c:pt idx="0">
                  <c:v>0.290053151100987</c:v>
                </c:pt>
                <c:pt idx="1">
                  <c:v>0.451784358390281</c:v>
                </c:pt>
                <c:pt idx="2">
                  <c:v>0.228549734244495</c:v>
                </c:pt>
                <c:pt idx="3">
                  <c:v>0.0197418375094913</c:v>
                </c:pt>
                <c:pt idx="4">
                  <c:v>0.00987091875474563</c:v>
                </c:pt>
              </c:numCache>
            </c:numRef>
          </c:val>
          <c:smooth val="0"/>
        </c:ser>
        <c:dLbls>
          <c:showLegendKey val="0"/>
          <c:showVal val="0"/>
          <c:showCatName val="0"/>
          <c:showSerName val="0"/>
          <c:showPercent val="0"/>
          <c:showBubbleSize val="0"/>
        </c:dLbls>
        <c:marker val="0"/>
        <c:smooth val="0"/>
        <c:axId val="142938880"/>
        <c:axId val="142940416"/>
      </c:lineChart>
      <c:catAx>
        <c:axId val="14293145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42932992"/>
        <c:crosses val="autoZero"/>
        <c:auto val="1"/>
        <c:lblAlgn val="ctr"/>
        <c:lblOffset val="100"/>
        <c:noMultiLvlLbl val="0"/>
      </c:catAx>
      <c:valAx>
        <c:axId val="1429329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42931456"/>
        <c:crosses val="autoZero"/>
        <c:crossBetween val="between"/>
      </c:valAx>
      <c:catAx>
        <c:axId val="142938880"/>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142940416"/>
        <c:crosses val="autoZero"/>
        <c:auto val="1"/>
        <c:lblAlgn val="ctr"/>
        <c:lblOffset val="100"/>
        <c:noMultiLvlLbl val="0"/>
      </c:catAx>
      <c:valAx>
        <c:axId val="142940416"/>
        <c:scaling>
          <c:orientation val="minMax"/>
        </c:scaling>
        <c:delete val="0"/>
        <c:axPos val="r"/>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42938880"/>
        <c:crosses val="max"/>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ysClr val="windowText" lastClr="000000"/>
          </a:solidFill>
        </a:defRPr>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44333886124931"/>
          <c:y val="0.0972222222222222"/>
          <c:w val="0.666362631288004"/>
          <c:h val="0.700555555555556"/>
        </c:manualLayout>
      </c:layout>
      <c:barChart>
        <c:barDir val="col"/>
        <c:grouping val="clustered"/>
        <c:varyColors val="0"/>
        <c:ser>
          <c:idx val="0"/>
          <c:order val="0"/>
          <c:tx>
            <c:strRef>
              <c:f>[工作簿1.xlsx]Sheet10!$H$82</c:f>
              <c:strCache>
                <c:ptCount val="1"/>
                <c:pt idx="0">
                  <c:v>人数 </c:v>
                </c:pt>
              </c:strCache>
            </c:strRef>
          </c:tx>
          <c:spPr>
            <a:solidFill>
              <a:schemeClr val="accent1"/>
            </a:solidFill>
            <a:ln>
              <a:noFill/>
            </a:ln>
            <a:effectLst/>
          </c:spPr>
          <c:invertIfNegative val="0"/>
          <c:dLbls>
            <c:delete val="1"/>
          </c:dLbls>
          <c:cat>
            <c:strRef>
              <c:f>[工作簿1.xlsx]Sheet10!$G$83:$G$88</c:f>
              <c:strCache>
                <c:ptCount val="5"/>
                <c:pt idx="0">
                  <c:v>很愿意</c:v>
                </c:pt>
                <c:pt idx="1">
                  <c:v>愿意</c:v>
                </c:pt>
                <c:pt idx="2">
                  <c:v>不好说</c:v>
                </c:pt>
                <c:pt idx="3">
                  <c:v>不愿意</c:v>
                </c:pt>
                <c:pt idx="4">
                  <c:v>很不愿意</c:v>
                </c:pt>
              </c:strCache>
            </c:strRef>
          </c:cat>
          <c:val>
            <c:numRef>
              <c:f>[工作簿1.xlsx]Sheet10!$H$83:$H$88</c:f>
              <c:numCache>
                <c:formatCode>General</c:formatCode>
                <c:ptCount val="5"/>
                <c:pt idx="0">
                  <c:v>375</c:v>
                </c:pt>
                <c:pt idx="1">
                  <c:v>600</c:v>
                </c:pt>
                <c:pt idx="2">
                  <c:v>305</c:v>
                </c:pt>
                <c:pt idx="3">
                  <c:v>25</c:v>
                </c:pt>
                <c:pt idx="4">
                  <c:v>12</c:v>
                </c:pt>
              </c:numCache>
            </c:numRef>
          </c:val>
        </c:ser>
        <c:dLbls>
          <c:showLegendKey val="0"/>
          <c:showVal val="0"/>
          <c:showCatName val="0"/>
          <c:showSerName val="0"/>
          <c:showPercent val="0"/>
          <c:showBubbleSize val="0"/>
        </c:dLbls>
        <c:gapWidth val="219"/>
        <c:overlap val="-27"/>
        <c:axId val="142963840"/>
        <c:axId val="142965760"/>
      </c:barChart>
      <c:lineChart>
        <c:grouping val="stacked"/>
        <c:varyColors val="0"/>
        <c:ser>
          <c:idx val="1"/>
          <c:order val="1"/>
          <c:tx>
            <c:strRef>
              <c:f>[工作簿1.xlsx]Sheet10!$I$82</c:f>
              <c:strCache>
                <c:ptCount val="1"/>
                <c:pt idx="0">
                  <c:v>百分比</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elete val="1"/>
          </c:dLbls>
          <c:cat>
            <c:strRef>
              <c:f>[工作簿1.xlsx]Sheet10!$G$83:$G$88</c:f>
              <c:strCache>
                <c:ptCount val="5"/>
                <c:pt idx="0">
                  <c:v>很愿意</c:v>
                </c:pt>
                <c:pt idx="1">
                  <c:v>愿意</c:v>
                </c:pt>
                <c:pt idx="2">
                  <c:v>不好说</c:v>
                </c:pt>
                <c:pt idx="3">
                  <c:v>不愿意</c:v>
                </c:pt>
                <c:pt idx="4">
                  <c:v>很不愿意</c:v>
                </c:pt>
              </c:strCache>
            </c:strRef>
          </c:cat>
          <c:val>
            <c:numRef>
              <c:f>[工作簿1.xlsx]Sheet10!$I$83:$I$88</c:f>
              <c:numCache>
                <c:formatCode>0.00%</c:formatCode>
                <c:ptCount val="5"/>
                <c:pt idx="0">
                  <c:v>0.284738041002278</c:v>
                </c:pt>
                <c:pt idx="1">
                  <c:v>0.455580865603645</c:v>
                </c:pt>
                <c:pt idx="2">
                  <c:v>0.231586940015186</c:v>
                </c:pt>
                <c:pt idx="3">
                  <c:v>0.0189825360668185</c:v>
                </c:pt>
                <c:pt idx="4">
                  <c:v>0.00911161731207289</c:v>
                </c:pt>
              </c:numCache>
            </c:numRef>
          </c:val>
          <c:smooth val="0"/>
        </c:ser>
        <c:dLbls>
          <c:showLegendKey val="0"/>
          <c:showVal val="0"/>
          <c:showCatName val="0"/>
          <c:showSerName val="0"/>
          <c:showPercent val="0"/>
          <c:showBubbleSize val="0"/>
        </c:dLbls>
        <c:marker val="1"/>
        <c:smooth val="0"/>
        <c:axId val="142967552"/>
        <c:axId val="142969088"/>
      </c:lineChart>
      <c:catAx>
        <c:axId val="14296384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2965760"/>
        <c:crosses val="autoZero"/>
        <c:auto val="1"/>
        <c:lblAlgn val="ctr"/>
        <c:lblOffset val="100"/>
        <c:noMultiLvlLbl val="0"/>
      </c:catAx>
      <c:valAx>
        <c:axId val="1429657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42963840"/>
        <c:crosses val="autoZero"/>
        <c:crossBetween val="between"/>
      </c:valAx>
      <c:catAx>
        <c:axId val="142967552"/>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2969088"/>
        <c:crosses val="autoZero"/>
        <c:auto val="1"/>
        <c:lblAlgn val="ctr"/>
        <c:lblOffset val="100"/>
        <c:noMultiLvlLbl val="0"/>
      </c:catAx>
      <c:valAx>
        <c:axId val="142969088"/>
        <c:scaling>
          <c:orientation val="minMax"/>
        </c:scaling>
        <c:delete val="0"/>
        <c:axPos val="r"/>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42967552"/>
        <c:crosses val="max"/>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[工作簿1.xlsx]Sheet10!$H$120</c:f>
              <c:strCache>
                <c:ptCount val="1"/>
                <c:pt idx="0">
                  <c:v> 人数</c:v>
                </c:pt>
              </c:strCache>
            </c:strRef>
          </c:tx>
          <c:spPr>
            <a:solidFill>
              <a:schemeClr val="accent1"/>
            </a:solidFill>
            <a:ln>
              <a:noFill/>
            </a:ln>
            <a:effectLst/>
          </c:spPr>
          <c:invertIfNegative val="0"/>
          <c:dLbls>
            <c:delete val="1"/>
          </c:dLbls>
          <c:cat>
            <c:strRef>
              <c:f>[工作簿1.xlsx]Sheet10!$G$121:$G$126</c:f>
              <c:strCache>
                <c:ptCount val="5"/>
                <c:pt idx="0">
                  <c:v>很满意</c:v>
                </c:pt>
                <c:pt idx="1">
                  <c:v>满意</c:v>
                </c:pt>
                <c:pt idx="2">
                  <c:v>不好说</c:v>
                </c:pt>
                <c:pt idx="3">
                  <c:v>不满意</c:v>
                </c:pt>
                <c:pt idx="4">
                  <c:v>很不满意</c:v>
                </c:pt>
              </c:strCache>
            </c:strRef>
          </c:cat>
          <c:val>
            <c:numRef>
              <c:f>[工作簿1.xlsx]Sheet10!$H$121:$H$126</c:f>
              <c:numCache>
                <c:formatCode>General</c:formatCode>
                <c:ptCount val="5"/>
                <c:pt idx="0">
                  <c:v>321</c:v>
                </c:pt>
                <c:pt idx="1">
                  <c:v>641</c:v>
                </c:pt>
                <c:pt idx="2">
                  <c:v>305</c:v>
                </c:pt>
                <c:pt idx="3">
                  <c:v>30</c:v>
                </c:pt>
                <c:pt idx="4">
                  <c:v>20</c:v>
                </c:pt>
              </c:numCache>
            </c:numRef>
          </c:val>
        </c:ser>
        <c:dLbls>
          <c:showLegendKey val="0"/>
          <c:showVal val="0"/>
          <c:showCatName val="0"/>
          <c:showSerName val="0"/>
          <c:showPercent val="0"/>
          <c:showBubbleSize val="0"/>
        </c:dLbls>
        <c:gapWidth val="219"/>
        <c:overlap val="-27"/>
        <c:axId val="143201024"/>
        <c:axId val="143202944"/>
      </c:barChart>
      <c:lineChart>
        <c:grouping val="stacked"/>
        <c:varyColors val="0"/>
        <c:ser>
          <c:idx val="1"/>
          <c:order val="1"/>
          <c:tx>
            <c:strRef>
              <c:f>[工作簿1.xlsx]Sheet10!$I$120</c:f>
              <c:strCache>
                <c:ptCount val="1"/>
                <c:pt idx="0">
                  <c:v>百分比</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elete val="1"/>
          </c:dLbls>
          <c:cat>
            <c:strRef>
              <c:f>[工作簿1.xlsx]Sheet10!$G$121:$G$126</c:f>
              <c:strCache>
                <c:ptCount val="5"/>
                <c:pt idx="0">
                  <c:v>很满意</c:v>
                </c:pt>
                <c:pt idx="1">
                  <c:v>满意</c:v>
                </c:pt>
                <c:pt idx="2">
                  <c:v>不好说</c:v>
                </c:pt>
                <c:pt idx="3">
                  <c:v>不满意</c:v>
                </c:pt>
                <c:pt idx="4">
                  <c:v>很不满意</c:v>
                </c:pt>
              </c:strCache>
            </c:strRef>
          </c:cat>
          <c:val>
            <c:numRef>
              <c:f>[工作簿1.xlsx]Sheet10!$I$121:$I$126</c:f>
              <c:numCache>
                <c:formatCode>0.00%</c:formatCode>
                <c:ptCount val="5"/>
                <c:pt idx="0">
                  <c:v>0.24373576309795</c:v>
                </c:pt>
                <c:pt idx="1">
                  <c:v>0.486712224753227</c:v>
                </c:pt>
                <c:pt idx="2">
                  <c:v>0.231586940015186</c:v>
                </c:pt>
                <c:pt idx="3">
                  <c:v>0.0227790432801822</c:v>
                </c:pt>
                <c:pt idx="4">
                  <c:v>0.0151860288534548</c:v>
                </c:pt>
              </c:numCache>
            </c:numRef>
          </c:val>
          <c:smooth val="0"/>
        </c:ser>
        <c:dLbls>
          <c:showLegendKey val="0"/>
          <c:showVal val="0"/>
          <c:showCatName val="0"/>
          <c:showSerName val="0"/>
          <c:showPercent val="0"/>
          <c:showBubbleSize val="0"/>
        </c:dLbls>
        <c:marker val="1"/>
        <c:smooth val="0"/>
        <c:axId val="143221120"/>
        <c:axId val="143222656"/>
      </c:lineChart>
      <c:catAx>
        <c:axId val="14320102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3202944"/>
        <c:crosses val="autoZero"/>
        <c:auto val="1"/>
        <c:lblAlgn val="ctr"/>
        <c:lblOffset val="100"/>
        <c:noMultiLvlLbl val="0"/>
      </c:catAx>
      <c:valAx>
        <c:axId val="1432029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43201024"/>
        <c:crosses val="autoZero"/>
        <c:crossBetween val="between"/>
      </c:valAx>
      <c:catAx>
        <c:axId val="143221120"/>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3222656"/>
        <c:crosses val="autoZero"/>
        <c:auto val="1"/>
        <c:lblAlgn val="ctr"/>
        <c:lblOffset val="100"/>
        <c:noMultiLvlLbl val="0"/>
      </c:catAx>
      <c:valAx>
        <c:axId val="143222656"/>
        <c:scaling>
          <c:orientation val="minMax"/>
        </c:scaling>
        <c:delete val="0"/>
        <c:axPos val="r"/>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43221120"/>
        <c:crosses val="max"/>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[工作簿1.xlsx]Sheet10!$H$139</c:f>
              <c:strCache>
                <c:ptCount val="1"/>
                <c:pt idx="0">
                  <c:v> 人数</c:v>
                </c:pt>
              </c:strCache>
            </c:strRef>
          </c:tx>
          <c:spPr>
            <a:solidFill>
              <a:schemeClr val="accent1"/>
            </a:solidFill>
            <a:ln>
              <a:noFill/>
            </a:ln>
            <a:effectLst/>
          </c:spPr>
          <c:invertIfNegative val="0"/>
          <c:dLbls>
            <c:delete val="1"/>
          </c:dLbls>
          <c:cat>
            <c:strRef>
              <c:f>[工作簿1.xlsx]Sheet10!$G$140:$G$145</c:f>
              <c:strCache>
                <c:ptCount val="5"/>
                <c:pt idx="0">
                  <c:v>很满意</c:v>
                </c:pt>
                <c:pt idx="1">
                  <c:v>满意</c:v>
                </c:pt>
                <c:pt idx="2">
                  <c:v>不好说</c:v>
                </c:pt>
                <c:pt idx="3">
                  <c:v>不满意</c:v>
                </c:pt>
                <c:pt idx="4">
                  <c:v>很不满意</c:v>
                </c:pt>
              </c:strCache>
            </c:strRef>
          </c:cat>
          <c:val>
            <c:numRef>
              <c:f>[工作簿1.xlsx]Sheet10!$H$140:$H$145</c:f>
              <c:numCache>
                <c:formatCode>General</c:formatCode>
                <c:ptCount val="5"/>
                <c:pt idx="0">
                  <c:v>319</c:v>
                </c:pt>
                <c:pt idx="1">
                  <c:v>645</c:v>
                </c:pt>
                <c:pt idx="2">
                  <c:v>309</c:v>
                </c:pt>
                <c:pt idx="3">
                  <c:v>29</c:v>
                </c:pt>
                <c:pt idx="4">
                  <c:v>15</c:v>
                </c:pt>
              </c:numCache>
            </c:numRef>
          </c:val>
        </c:ser>
        <c:dLbls>
          <c:showLegendKey val="0"/>
          <c:showVal val="0"/>
          <c:showCatName val="0"/>
          <c:showSerName val="0"/>
          <c:showPercent val="0"/>
          <c:showBubbleSize val="0"/>
        </c:dLbls>
        <c:gapWidth val="219"/>
        <c:overlap val="-27"/>
        <c:axId val="143262080"/>
        <c:axId val="143264000"/>
      </c:barChart>
      <c:lineChart>
        <c:grouping val="stacked"/>
        <c:varyColors val="0"/>
        <c:ser>
          <c:idx val="1"/>
          <c:order val="1"/>
          <c:tx>
            <c:strRef>
              <c:f>[工作簿1.xlsx]Sheet10!$I$139</c:f>
              <c:strCache>
                <c:ptCount val="1"/>
                <c:pt idx="0">
                  <c:v>百分比</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elete val="1"/>
          </c:dLbls>
          <c:cat>
            <c:strRef>
              <c:f>[工作簿1.xlsx]Sheet10!$G$140:$G$145</c:f>
              <c:strCache>
                <c:ptCount val="5"/>
                <c:pt idx="0">
                  <c:v>很满意</c:v>
                </c:pt>
                <c:pt idx="1">
                  <c:v>满意</c:v>
                </c:pt>
                <c:pt idx="2">
                  <c:v>不好说</c:v>
                </c:pt>
                <c:pt idx="3">
                  <c:v>不满意</c:v>
                </c:pt>
                <c:pt idx="4">
                  <c:v>很不满意</c:v>
                </c:pt>
              </c:strCache>
            </c:strRef>
          </c:cat>
          <c:val>
            <c:numRef>
              <c:f>[工作簿1.xlsx]Sheet10!$I$140:$I$145</c:f>
              <c:numCache>
                <c:formatCode>0.00%</c:formatCode>
                <c:ptCount val="5"/>
                <c:pt idx="0">
                  <c:v>0.242217160212604</c:v>
                </c:pt>
                <c:pt idx="1">
                  <c:v>0.489749430523918</c:v>
                </c:pt>
                <c:pt idx="2">
                  <c:v>0.234624145785877</c:v>
                </c:pt>
                <c:pt idx="3">
                  <c:v>0.0220197418375095</c:v>
                </c:pt>
                <c:pt idx="4">
                  <c:v>0.0113895216400911</c:v>
                </c:pt>
              </c:numCache>
            </c:numRef>
          </c:val>
          <c:smooth val="0"/>
        </c:ser>
        <c:dLbls>
          <c:showLegendKey val="0"/>
          <c:showVal val="0"/>
          <c:showCatName val="0"/>
          <c:showSerName val="0"/>
          <c:showPercent val="0"/>
          <c:showBubbleSize val="0"/>
        </c:dLbls>
        <c:marker val="1"/>
        <c:smooth val="0"/>
        <c:axId val="143335424"/>
        <c:axId val="143336960"/>
      </c:lineChart>
      <c:catAx>
        <c:axId val="14326208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3264000"/>
        <c:crosses val="autoZero"/>
        <c:auto val="1"/>
        <c:lblAlgn val="ctr"/>
        <c:lblOffset val="100"/>
        <c:noMultiLvlLbl val="0"/>
      </c:catAx>
      <c:valAx>
        <c:axId val="1432640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43262080"/>
        <c:crosses val="autoZero"/>
        <c:crossBetween val="between"/>
      </c:valAx>
      <c:catAx>
        <c:axId val="143335424"/>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3336960"/>
        <c:crosses val="autoZero"/>
        <c:auto val="1"/>
        <c:lblAlgn val="ctr"/>
        <c:lblOffset val="100"/>
        <c:noMultiLvlLbl val="0"/>
      </c:catAx>
      <c:valAx>
        <c:axId val="143336960"/>
        <c:scaling>
          <c:orientation val="minMax"/>
        </c:scaling>
        <c:delete val="0"/>
        <c:axPos val="r"/>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43335424"/>
        <c:crosses val="max"/>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[工作簿1.xlsx]Sheet10!$G$171</c:f>
              <c:strCache>
                <c:ptCount val="1"/>
                <c:pt idx="0">
                  <c:v> 人数</c:v>
                </c:pt>
              </c:strCache>
            </c:strRef>
          </c:tx>
          <c:spPr>
            <a:solidFill>
              <a:schemeClr val="accent1"/>
            </a:solidFill>
            <a:ln>
              <a:noFill/>
            </a:ln>
            <a:effectLst/>
          </c:spPr>
          <c:invertIfNegative val="0"/>
          <c:dLbls>
            <c:delete val="1"/>
          </c:dLbls>
          <c:cat>
            <c:strRef>
              <c:f>[工作簿1.xlsx]Sheet10!$F$172:$F$177</c:f>
              <c:strCache>
                <c:ptCount val="5"/>
                <c:pt idx="0">
                  <c:v>很多</c:v>
                </c:pt>
                <c:pt idx="1">
                  <c:v>多</c:v>
                </c:pt>
                <c:pt idx="2">
                  <c:v>不好说</c:v>
                </c:pt>
                <c:pt idx="3">
                  <c:v>少</c:v>
                </c:pt>
                <c:pt idx="4">
                  <c:v>很少</c:v>
                </c:pt>
              </c:strCache>
            </c:strRef>
          </c:cat>
          <c:val>
            <c:numRef>
              <c:f>[工作簿1.xlsx]Sheet10!$G$172:$G$177</c:f>
              <c:numCache>
                <c:formatCode>General</c:formatCode>
                <c:ptCount val="5"/>
                <c:pt idx="0">
                  <c:v>300</c:v>
                </c:pt>
                <c:pt idx="1">
                  <c:v>458</c:v>
                </c:pt>
                <c:pt idx="2">
                  <c:v>309</c:v>
                </c:pt>
                <c:pt idx="3">
                  <c:v>200</c:v>
                </c:pt>
                <c:pt idx="4">
                  <c:v>50</c:v>
                </c:pt>
              </c:numCache>
            </c:numRef>
          </c:val>
        </c:ser>
        <c:dLbls>
          <c:showLegendKey val="0"/>
          <c:showVal val="0"/>
          <c:showCatName val="0"/>
          <c:showSerName val="0"/>
          <c:showPercent val="0"/>
          <c:showBubbleSize val="0"/>
        </c:dLbls>
        <c:gapWidth val="219"/>
        <c:overlap val="-27"/>
        <c:axId val="199307264"/>
        <c:axId val="199309184"/>
      </c:barChart>
      <c:lineChart>
        <c:grouping val="stacked"/>
        <c:varyColors val="0"/>
        <c:ser>
          <c:idx val="1"/>
          <c:order val="1"/>
          <c:tx>
            <c:strRef>
              <c:f>[工作簿1.xlsx]Sheet10!$H$171</c:f>
              <c:strCache>
                <c:ptCount val="1"/>
                <c:pt idx="0">
                  <c:v>百分比</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elete val="1"/>
          </c:dLbls>
          <c:cat>
            <c:strRef>
              <c:f>[工作簿1.xlsx]Sheet10!$F$172:$F$177</c:f>
              <c:strCache>
                <c:ptCount val="5"/>
                <c:pt idx="0">
                  <c:v>很多</c:v>
                </c:pt>
                <c:pt idx="1">
                  <c:v>多</c:v>
                </c:pt>
                <c:pt idx="2">
                  <c:v>不好说</c:v>
                </c:pt>
                <c:pt idx="3">
                  <c:v>少</c:v>
                </c:pt>
                <c:pt idx="4">
                  <c:v>很少</c:v>
                </c:pt>
              </c:strCache>
            </c:strRef>
          </c:cat>
          <c:val>
            <c:numRef>
              <c:f>[工作簿1.xlsx]Sheet10!$H$172:$H$177</c:f>
              <c:numCache>
                <c:formatCode>0.00%</c:formatCode>
                <c:ptCount val="5"/>
                <c:pt idx="0">
                  <c:v>0.227790432801822</c:v>
                </c:pt>
                <c:pt idx="1">
                  <c:v>0.347760060744115</c:v>
                </c:pt>
                <c:pt idx="2">
                  <c:v>0.234624145785877</c:v>
                </c:pt>
                <c:pt idx="3">
                  <c:v>0.151860288534548</c:v>
                </c:pt>
                <c:pt idx="4">
                  <c:v>0.0379650721336371</c:v>
                </c:pt>
              </c:numCache>
            </c:numRef>
          </c:val>
          <c:smooth val="0"/>
        </c:ser>
        <c:dLbls>
          <c:showLegendKey val="0"/>
          <c:showVal val="0"/>
          <c:showCatName val="0"/>
          <c:showSerName val="0"/>
          <c:showPercent val="0"/>
          <c:showBubbleSize val="0"/>
        </c:dLbls>
        <c:marker val="1"/>
        <c:smooth val="0"/>
        <c:axId val="199310720"/>
        <c:axId val="206386304"/>
      </c:lineChart>
      <c:catAx>
        <c:axId val="19930726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9309184"/>
        <c:crosses val="autoZero"/>
        <c:auto val="1"/>
        <c:lblAlgn val="ctr"/>
        <c:lblOffset val="100"/>
        <c:noMultiLvlLbl val="0"/>
      </c:catAx>
      <c:valAx>
        <c:axId val="19930918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99307264"/>
        <c:crosses val="autoZero"/>
        <c:crossBetween val="between"/>
      </c:valAx>
      <c:catAx>
        <c:axId val="199310720"/>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6386304"/>
        <c:crosses val="autoZero"/>
        <c:auto val="1"/>
        <c:lblAlgn val="ctr"/>
        <c:lblOffset val="100"/>
        <c:noMultiLvlLbl val="0"/>
      </c:catAx>
      <c:valAx>
        <c:axId val="206386304"/>
        <c:scaling>
          <c:orientation val="minMax"/>
        </c:scaling>
        <c:delete val="0"/>
        <c:axPos val="r"/>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99310720"/>
        <c:crosses val="max"/>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[工作簿1.xlsx]Sheet10!$G$203</c:f>
              <c:strCache>
                <c:ptCount val="1"/>
                <c:pt idx="0">
                  <c:v> 人数</c:v>
                </c:pt>
              </c:strCache>
            </c:strRef>
          </c:tx>
          <c:spPr>
            <a:solidFill>
              <a:schemeClr val="accent1"/>
            </a:solidFill>
            <a:ln>
              <a:noFill/>
            </a:ln>
            <a:effectLst/>
          </c:spPr>
          <c:invertIfNegative val="0"/>
          <c:dLbls>
            <c:delete val="1"/>
          </c:dLbls>
          <c:cat>
            <c:strRef>
              <c:f>[工作簿1.xlsx]Sheet10!$F$204:$F$209</c:f>
              <c:strCache>
                <c:ptCount val="5"/>
                <c:pt idx="0">
                  <c:v>很多</c:v>
                </c:pt>
                <c:pt idx="1">
                  <c:v>多</c:v>
                </c:pt>
                <c:pt idx="2">
                  <c:v>不好说</c:v>
                </c:pt>
                <c:pt idx="3">
                  <c:v>少</c:v>
                </c:pt>
                <c:pt idx="4">
                  <c:v>很少</c:v>
                </c:pt>
              </c:strCache>
            </c:strRef>
          </c:cat>
          <c:val>
            <c:numRef>
              <c:f>[工作簿1.xlsx]Sheet10!$G$204:$G$209</c:f>
              <c:numCache>
                <c:formatCode>General</c:formatCode>
                <c:ptCount val="5"/>
                <c:pt idx="0">
                  <c:v>311</c:v>
                </c:pt>
                <c:pt idx="1">
                  <c:v>458</c:v>
                </c:pt>
                <c:pt idx="2">
                  <c:v>323</c:v>
                </c:pt>
                <c:pt idx="3">
                  <c:v>195</c:v>
                </c:pt>
                <c:pt idx="4">
                  <c:v>30</c:v>
                </c:pt>
              </c:numCache>
            </c:numRef>
          </c:val>
        </c:ser>
        <c:dLbls>
          <c:showLegendKey val="0"/>
          <c:showVal val="0"/>
          <c:showCatName val="0"/>
          <c:showSerName val="0"/>
          <c:showPercent val="0"/>
          <c:showBubbleSize val="0"/>
        </c:dLbls>
        <c:gapWidth val="219"/>
        <c:overlap val="-27"/>
        <c:axId val="206404992"/>
        <c:axId val="206431744"/>
      </c:barChart>
      <c:lineChart>
        <c:grouping val="stacked"/>
        <c:varyColors val="0"/>
        <c:ser>
          <c:idx val="1"/>
          <c:order val="1"/>
          <c:tx>
            <c:strRef>
              <c:f>[工作簿1.xlsx]Sheet10!$H$203</c:f>
              <c:strCache>
                <c:ptCount val="1"/>
                <c:pt idx="0">
                  <c:v>百分比</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elete val="1"/>
          </c:dLbls>
          <c:cat>
            <c:strRef>
              <c:f>[工作簿1.xlsx]Sheet10!$F$204:$F$209</c:f>
              <c:strCache>
                <c:ptCount val="5"/>
                <c:pt idx="0">
                  <c:v>很多</c:v>
                </c:pt>
                <c:pt idx="1">
                  <c:v>多</c:v>
                </c:pt>
                <c:pt idx="2">
                  <c:v>不好说</c:v>
                </c:pt>
                <c:pt idx="3">
                  <c:v>少</c:v>
                </c:pt>
                <c:pt idx="4">
                  <c:v>很少</c:v>
                </c:pt>
              </c:strCache>
            </c:strRef>
          </c:cat>
          <c:val>
            <c:numRef>
              <c:f>[工作簿1.xlsx]Sheet10!$H$204:$H$209</c:f>
              <c:numCache>
                <c:formatCode>0.00%</c:formatCode>
                <c:ptCount val="5"/>
                <c:pt idx="0">
                  <c:v>0.236142748671222</c:v>
                </c:pt>
                <c:pt idx="1">
                  <c:v>0.347760060744115</c:v>
                </c:pt>
                <c:pt idx="2">
                  <c:v>0.245254365983295</c:v>
                </c:pt>
                <c:pt idx="3">
                  <c:v>0.148063781321185</c:v>
                </c:pt>
                <c:pt idx="4">
                  <c:v>0.0227790432801822</c:v>
                </c:pt>
              </c:numCache>
            </c:numRef>
          </c:val>
          <c:smooth val="0"/>
        </c:ser>
        <c:dLbls>
          <c:showLegendKey val="0"/>
          <c:showVal val="0"/>
          <c:showCatName val="0"/>
          <c:showSerName val="0"/>
          <c:showPercent val="0"/>
          <c:showBubbleSize val="0"/>
        </c:dLbls>
        <c:marker val="1"/>
        <c:smooth val="0"/>
        <c:axId val="206433280"/>
        <c:axId val="206512896"/>
      </c:lineChart>
      <c:catAx>
        <c:axId val="20640499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6431744"/>
        <c:crosses val="autoZero"/>
        <c:auto val="1"/>
        <c:lblAlgn val="ctr"/>
        <c:lblOffset val="100"/>
        <c:noMultiLvlLbl val="0"/>
      </c:catAx>
      <c:valAx>
        <c:axId val="2064317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06404992"/>
        <c:crosses val="autoZero"/>
        <c:crossBetween val="between"/>
      </c:valAx>
      <c:catAx>
        <c:axId val="206433280"/>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6512896"/>
        <c:crosses val="autoZero"/>
        <c:auto val="1"/>
        <c:lblAlgn val="ctr"/>
        <c:lblOffset val="100"/>
        <c:noMultiLvlLbl val="0"/>
      </c:catAx>
      <c:valAx>
        <c:axId val="206512896"/>
        <c:scaling>
          <c:orientation val="minMax"/>
        </c:scaling>
        <c:delete val="0"/>
        <c:axPos val="r"/>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06433280"/>
        <c:crosses val="max"/>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[工作簿1.xlsx]Sheet10!$L$232</c:f>
              <c:strCache>
                <c:ptCount val="1"/>
                <c:pt idx="0">
                  <c:v> 人数</c:v>
                </c:pt>
              </c:strCache>
            </c:strRef>
          </c:tx>
          <c:spPr>
            <a:solidFill>
              <a:schemeClr val="accent1"/>
            </a:solidFill>
            <a:ln>
              <a:noFill/>
            </a:ln>
            <a:effectLst/>
          </c:spPr>
          <c:invertIfNegative val="0"/>
          <c:dLbls>
            <c:delete val="1"/>
          </c:dLbls>
          <c:cat>
            <c:strRef>
              <c:f>[工作簿1.xlsx]Sheet10!$K$233:$K$238</c:f>
              <c:strCache>
                <c:ptCount val="5"/>
                <c:pt idx="0">
                  <c:v>很高</c:v>
                </c:pt>
                <c:pt idx="1">
                  <c:v>高</c:v>
                </c:pt>
                <c:pt idx="2">
                  <c:v>不好说</c:v>
                </c:pt>
                <c:pt idx="3">
                  <c:v>低</c:v>
                </c:pt>
                <c:pt idx="4">
                  <c:v>很低</c:v>
                </c:pt>
              </c:strCache>
            </c:strRef>
          </c:cat>
          <c:val>
            <c:numRef>
              <c:f>[工作簿1.xlsx]Sheet10!$L$233:$L$238</c:f>
              <c:numCache>
                <c:formatCode>General</c:formatCode>
                <c:ptCount val="5"/>
                <c:pt idx="0">
                  <c:v>259</c:v>
                </c:pt>
                <c:pt idx="1">
                  <c:v>558</c:v>
                </c:pt>
                <c:pt idx="2">
                  <c:v>380</c:v>
                </c:pt>
                <c:pt idx="3">
                  <c:v>95</c:v>
                </c:pt>
                <c:pt idx="4">
                  <c:v>25</c:v>
                </c:pt>
              </c:numCache>
            </c:numRef>
          </c:val>
        </c:ser>
        <c:dLbls>
          <c:showLegendKey val="0"/>
          <c:showVal val="0"/>
          <c:showCatName val="0"/>
          <c:showSerName val="0"/>
          <c:showPercent val="0"/>
          <c:showBubbleSize val="0"/>
        </c:dLbls>
        <c:gapWidth val="219"/>
        <c:overlap val="-27"/>
        <c:axId val="209013760"/>
        <c:axId val="212567168"/>
      </c:barChart>
      <c:lineChart>
        <c:grouping val="stacked"/>
        <c:varyColors val="0"/>
        <c:ser>
          <c:idx val="1"/>
          <c:order val="1"/>
          <c:tx>
            <c:strRef>
              <c:f>[工作簿1.xlsx]Sheet10!$M$232</c:f>
              <c:strCache>
                <c:ptCount val="1"/>
                <c:pt idx="0">
                  <c:v>百分比</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elete val="1"/>
          </c:dLbls>
          <c:cat>
            <c:strRef>
              <c:f>[工作簿1.xlsx]Sheet10!$K$233:$K$238</c:f>
              <c:strCache>
                <c:ptCount val="5"/>
                <c:pt idx="0">
                  <c:v>很高</c:v>
                </c:pt>
                <c:pt idx="1">
                  <c:v>高</c:v>
                </c:pt>
                <c:pt idx="2">
                  <c:v>不好说</c:v>
                </c:pt>
                <c:pt idx="3">
                  <c:v>低</c:v>
                </c:pt>
                <c:pt idx="4">
                  <c:v>很低</c:v>
                </c:pt>
              </c:strCache>
            </c:strRef>
          </c:cat>
          <c:val>
            <c:numRef>
              <c:f>[工作簿1.xlsx]Sheet10!$M$233:$M$238</c:f>
              <c:numCache>
                <c:formatCode>0.00%</c:formatCode>
                <c:ptCount val="5"/>
                <c:pt idx="0">
                  <c:v>0.19665907365224</c:v>
                </c:pt>
                <c:pt idx="1">
                  <c:v>0.42369020501139</c:v>
                </c:pt>
                <c:pt idx="2">
                  <c:v>0.288534548215642</c:v>
                </c:pt>
                <c:pt idx="3">
                  <c:v>0.0721336370539104</c:v>
                </c:pt>
                <c:pt idx="4">
                  <c:v>0.0189825360668185</c:v>
                </c:pt>
              </c:numCache>
            </c:numRef>
          </c:val>
          <c:smooth val="0"/>
        </c:ser>
        <c:dLbls>
          <c:showLegendKey val="0"/>
          <c:showVal val="0"/>
          <c:showCatName val="0"/>
          <c:showSerName val="0"/>
          <c:showPercent val="0"/>
          <c:showBubbleSize val="0"/>
        </c:dLbls>
        <c:marker val="1"/>
        <c:smooth val="0"/>
        <c:axId val="212568704"/>
        <c:axId val="212578688"/>
      </c:lineChart>
      <c:catAx>
        <c:axId val="20901376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2567168"/>
        <c:crosses val="autoZero"/>
        <c:auto val="1"/>
        <c:lblAlgn val="ctr"/>
        <c:lblOffset val="100"/>
        <c:noMultiLvlLbl val="0"/>
      </c:catAx>
      <c:valAx>
        <c:axId val="2125671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09013760"/>
        <c:crosses val="autoZero"/>
        <c:crossBetween val="between"/>
      </c:valAx>
      <c:catAx>
        <c:axId val="212568704"/>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2578688"/>
        <c:crosses val="autoZero"/>
        <c:auto val="1"/>
        <c:lblAlgn val="ctr"/>
        <c:lblOffset val="100"/>
        <c:noMultiLvlLbl val="0"/>
      </c:catAx>
      <c:valAx>
        <c:axId val="212578688"/>
        <c:scaling>
          <c:orientation val="minMax"/>
        </c:scaling>
        <c:delete val="0"/>
        <c:axPos val="r"/>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12568704"/>
        <c:crosses val="max"/>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[工作簿1.xlsx]Sheet10!$I$258</c:f>
              <c:strCache>
                <c:ptCount val="1"/>
                <c:pt idx="0">
                  <c:v>求和项:人数</c:v>
                </c:pt>
              </c:strCache>
            </c:strRef>
          </c:tx>
          <c:spPr>
            <a:solidFill>
              <a:schemeClr val="accent1"/>
            </a:solidFill>
            <a:ln>
              <a:noFill/>
            </a:ln>
            <a:effectLst/>
          </c:spPr>
          <c:invertIfNegative val="0"/>
          <c:dLbls>
            <c:delete val="1"/>
          </c:dLbls>
          <c:cat>
            <c:strRef>
              <c:f>[工作簿1.xlsx]Sheet10!$H$259:$H$264</c:f>
              <c:strCache>
                <c:ptCount val="5"/>
                <c:pt idx="0">
                  <c:v>上学期间未创业毕业后也不打算创业</c:v>
                </c:pt>
                <c:pt idx="1">
                  <c:v>上学期间未创业毕业后打算马上创业</c:v>
                </c:pt>
                <c:pt idx="2">
                  <c:v>上学期间未创业毕业后打算工作几年再创业</c:v>
                </c:pt>
                <c:pt idx="3">
                  <c:v>上学期间创业了毕业后打算继续创业</c:v>
                </c:pt>
                <c:pt idx="4">
                  <c:v>上学期间创业了毕业后打算暂停创业</c:v>
                </c:pt>
              </c:strCache>
            </c:strRef>
          </c:cat>
          <c:val>
            <c:numRef>
              <c:f>[工作簿1.xlsx]Sheet10!$I$259:$I$264</c:f>
              <c:numCache>
                <c:formatCode>General</c:formatCode>
                <c:ptCount val="5"/>
                <c:pt idx="0">
                  <c:v>488</c:v>
                </c:pt>
                <c:pt idx="1">
                  <c:v>118</c:v>
                </c:pt>
                <c:pt idx="2">
                  <c:v>521</c:v>
                </c:pt>
                <c:pt idx="3">
                  <c:v>145</c:v>
                </c:pt>
                <c:pt idx="4">
                  <c:v>45</c:v>
                </c:pt>
              </c:numCache>
            </c:numRef>
          </c:val>
        </c:ser>
        <c:dLbls>
          <c:showLegendKey val="0"/>
          <c:showVal val="0"/>
          <c:showCatName val="0"/>
          <c:showSerName val="0"/>
          <c:showPercent val="0"/>
          <c:showBubbleSize val="0"/>
        </c:dLbls>
        <c:gapWidth val="219"/>
        <c:overlap val="-27"/>
        <c:axId val="212728448"/>
        <c:axId val="231092992"/>
      </c:barChart>
      <c:lineChart>
        <c:grouping val="stacked"/>
        <c:varyColors val="0"/>
        <c:ser>
          <c:idx val="1"/>
          <c:order val="1"/>
          <c:tx>
            <c:strRef>
              <c:f>[工作簿1.xlsx]Sheet10!$J$258</c:f>
              <c:strCache>
                <c:ptCount val="1"/>
                <c:pt idx="0">
                  <c:v>百分比</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elete val="1"/>
          </c:dLbls>
          <c:cat>
            <c:strRef>
              <c:f>[工作簿1.xlsx]Sheet10!$H$259:$H$264</c:f>
              <c:strCache>
                <c:ptCount val="5"/>
                <c:pt idx="0">
                  <c:v>上学期间未创业毕业后也不打算创业</c:v>
                </c:pt>
                <c:pt idx="1">
                  <c:v>上学期间未创业毕业后打算马上创业</c:v>
                </c:pt>
                <c:pt idx="2">
                  <c:v>上学期间未创业毕业后打算工作几年再创业</c:v>
                </c:pt>
                <c:pt idx="3">
                  <c:v>上学期间创业了毕业后打算继续创业</c:v>
                </c:pt>
                <c:pt idx="4">
                  <c:v>上学期间创业了毕业后打算暂停创业</c:v>
                </c:pt>
              </c:strCache>
            </c:strRef>
          </c:cat>
          <c:val>
            <c:numRef>
              <c:f>[工作簿1.xlsx]Sheet10!$J$259:$J$264</c:f>
              <c:numCache>
                <c:formatCode>0.00%</c:formatCode>
                <c:ptCount val="5"/>
                <c:pt idx="0">
                  <c:v>0.370539104024298</c:v>
                </c:pt>
                <c:pt idx="1">
                  <c:v>0.0895975702353835</c:v>
                </c:pt>
                <c:pt idx="2">
                  <c:v>0.395596051632498</c:v>
                </c:pt>
                <c:pt idx="3">
                  <c:v>0.110098709187547</c:v>
                </c:pt>
                <c:pt idx="4">
                  <c:v>0.0341685649202734</c:v>
                </c:pt>
              </c:numCache>
            </c:numRef>
          </c:val>
          <c:smooth val="0"/>
        </c:ser>
        <c:dLbls>
          <c:showLegendKey val="0"/>
          <c:showVal val="0"/>
          <c:showCatName val="0"/>
          <c:showSerName val="0"/>
          <c:showPercent val="0"/>
          <c:showBubbleSize val="0"/>
        </c:dLbls>
        <c:marker val="1"/>
        <c:smooth val="0"/>
        <c:axId val="231094528"/>
        <c:axId val="231104512"/>
      </c:lineChart>
      <c:catAx>
        <c:axId val="21272844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1092992"/>
        <c:crosses val="autoZero"/>
        <c:auto val="1"/>
        <c:lblAlgn val="ctr"/>
        <c:lblOffset val="100"/>
        <c:noMultiLvlLbl val="0"/>
      </c:catAx>
      <c:valAx>
        <c:axId val="2310929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12728448"/>
        <c:crosses val="autoZero"/>
        <c:crossBetween val="between"/>
      </c:valAx>
      <c:catAx>
        <c:axId val="231094528"/>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1104512"/>
        <c:crosses val="autoZero"/>
        <c:auto val="1"/>
        <c:lblAlgn val="ctr"/>
        <c:lblOffset val="100"/>
        <c:noMultiLvlLbl val="0"/>
      </c:catAx>
      <c:valAx>
        <c:axId val="231104512"/>
        <c:scaling>
          <c:orientation val="minMax"/>
        </c:scaling>
        <c:delete val="0"/>
        <c:axPos val="r"/>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31094528"/>
        <c:crosses val="max"/>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74444444444444"/>
          <c:y val="0.234259259259259"/>
          <c:w val="0.765888888888889"/>
          <c:h val="0.654259259259259"/>
        </c:manualLayout>
      </c:layout>
      <c:barChart>
        <c:barDir val="col"/>
        <c:grouping val="clustered"/>
        <c:varyColors val="0"/>
        <c:ser>
          <c:idx val="0"/>
          <c:order val="0"/>
          <c:tx>
            <c:strRef>
              <c:f>[石家庄工程职业学院数据.xlsx]Sheet9!$D$10</c:f>
              <c:strCache>
                <c:ptCount val="1"/>
                <c:pt idx="0">
                  <c:v>汇总</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[石家庄工程职业学院数据.xlsx]Sheet9!$C$11:$C$14</c:f>
              <c:strCache>
                <c:ptCount val="3"/>
                <c:pt idx="0">
                  <c:v>本科毕业生</c:v>
                </c:pt>
                <c:pt idx="1">
                  <c:v>专科毕业生</c:v>
                </c:pt>
                <c:pt idx="2">
                  <c:v>总体</c:v>
                </c:pt>
              </c:strCache>
            </c:strRef>
          </c:cat>
          <c:val>
            <c:numRef>
              <c:f>[石家庄工程职业学院数据.xlsx]Sheet9!$D$11:$D$14</c:f>
              <c:numCache>
                <c:formatCode>General</c:formatCode>
                <c:ptCount val="3"/>
                <c:pt idx="0">
                  <c:v>4821.56</c:v>
                </c:pt>
                <c:pt idx="1">
                  <c:v>4057.35</c:v>
                </c:pt>
                <c:pt idx="2">
                  <c:v>4681.93</c:v>
                </c:pt>
              </c:numCache>
            </c:numRef>
          </c:val>
        </c:ser>
        <c:dLbls>
          <c:showLegendKey val="0"/>
          <c:showVal val="1"/>
          <c:showCatName val="0"/>
          <c:showSerName val="0"/>
          <c:showPercent val="0"/>
          <c:showBubbleSize val="0"/>
        </c:dLbls>
        <c:gapWidth val="219"/>
        <c:overlap val="-27"/>
        <c:axId val="383064320"/>
        <c:axId val="383114240"/>
      </c:barChart>
      <c:catAx>
        <c:axId val="38306432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383114240"/>
        <c:crosses val="autoZero"/>
        <c:auto val="1"/>
        <c:lblAlgn val="ctr"/>
        <c:lblOffset val="100"/>
        <c:noMultiLvlLbl val="0"/>
      </c:catAx>
      <c:valAx>
        <c:axId val="38311424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383064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ysClr val="windowText" lastClr="000000"/>
          </a:solidFill>
        </a:defRPr>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[工作簿1.xlsx]Sheet10!$I$289</c:f>
              <c:strCache>
                <c:ptCount val="1"/>
                <c:pt idx="0">
                  <c:v> 人数</c:v>
                </c:pt>
              </c:strCache>
            </c:strRef>
          </c:tx>
          <c:spPr>
            <a:solidFill>
              <a:schemeClr val="accent1"/>
            </a:solidFill>
            <a:ln>
              <a:noFill/>
            </a:ln>
            <a:effectLst/>
          </c:spPr>
          <c:invertIfNegative val="0"/>
          <c:dLbls>
            <c:delete val="1"/>
          </c:dLbls>
          <c:cat>
            <c:strRef>
              <c:f>[工作簿1.xlsx]Sheet10!$H$290:$H$296</c:f>
              <c:strCache>
                <c:ptCount val="6"/>
                <c:pt idx="0">
                  <c:v>了解了什么是大学生创业</c:v>
                </c:pt>
                <c:pt idx="1">
                  <c:v>启发了我的创业意识</c:v>
                </c:pt>
                <c:pt idx="2">
                  <c:v>激发了我的创业热情</c:v>
                </c:pt>
                <c:pt idx="3">
                  <c:v>明确了我的创业计划</c:v>
                </c:pt>
                <c:pt idx="4">
                  <c:v>了解了相关创业政策</c:v>
                </c:pt>
                <c:pt idx="5">
                  <c:v>没有任何收获</c:v>
                </c:pt>
              </c:strCache>
            </c:strRef>
          </c:cat>
          <c:val>
            <c:numRef>
              <c:f>[工作簿1.xlsx]Sheet10!$I$290:$I$296</c:f>
              <c:numCache>
                <c:formatCode>General</c:formatCode>
                <c:ptCount val="6"/>
                <c:pt idx="0">
                  <c:v>512</c:v>
                </c:pt>
                <c:pt idx="1">
                  <c:v>159</c:v>
                </c:pt>
                <c:pt idx="2">
                  <c:v>149</c:v>
                </c:pt>
                <c:pt idx="3">
                  <c:v>139</c:v>
                </c:pt>
                <c:pt idx="4">
                  <c:v>220</c:v>
                </c:pt>
                <c:pt idx="5">
                  <c:v>138</c:v>
                </c:pt>
              </c:numCache>
            </c:numRef>
          </c:val>
        </c:ser>
        <c:dLbls>
          <c:showLegendKey val="0"/>
          <c:showVal val="0"/>
          <c:showCatName val="0"/>
          <c:showSerName val="0"/>
          <c:showPercent val="0"/>
          <c:showBubbleSize val="0"/>
        </c:dLbls>
        <c:gapWidth val="219"/>
        <c:overlap val="-27"/>
        <c:axId val="235211008"/>
        <c:axId val="235217280"/>
      </c:barChart>
      <c:lineChart>
        <c:grouping val="stacked"/>
        <c:varyColors val="0"/>
        <c:ser>
          <c:idx val="1"/>
          <c:order val="1"/>
          <c:tx>
            <c:strRef>
              <c:f>[工作簿1.xlsx]Sheet10!$J$289</c:f>
              <c:strCache>
                <c:ptCount val="1"/>
                <c:pt idx="0">
                  <c:v>百分比</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elete val="1"/>
          </c:dLbls>
          <c:cat>
            <c:strRef>
              <c:f>[工作簿1.xlsx]Sheet10!$H$290:$H$296</c:f>
              <c:strCache>
                <c:ptCount val="6"/>
                <c:pt idx="0">
                  <c:v>了解了什么是大学生创业</c:v>
                </c:pt>
                <c:pt idx="1">
                  <c:v>启发了我的创业意识</c:v>
                </c:pt>
                <c:pt idx="2">
                  <c:v>激发了我的创业热情</c:v>
                </c:pt>
                <c:pt idx="3">
                  <c:v>明确了我的创业计划</c:v>
                </c:pt>
                <c:pt idx="4">
                  <c:v>了解了相关创业政策</c:v>
                </c:pt>
                <c:pt idx="5">
                  <c:v>没有任何收获</c:v>
                </c:pt>
              </c:strCache>
            </c:strRef>
          </c:cat>
          <c:val>
            <c:numRef>
              <c:f>[工作簿1.xlsx]Sheet10!$J$290:$J$296</c:f>
              <c:numCache>
                <c:formatCode>0.00%</c:formatCode>
                <c:ptCount val="6"/>
                <c:pt idx="0">
                  <c:v>0.388762338648443</c:v>
                </c:pt>
                <c:pt idx="1">
                  <c:v>0.120728929384966</c:v>
                </c:pt>
                <c:pt idx="2">
                  <c:v>0.113135914958238</c:v>
                </c:pt>
                <c:pt idx="3">
                  <c:v>0.105542900531511</c:v>
                </c:pt>
                <c:pt idx="4">
                  <c:v>0.167046317388003</c:v>
                </c:pt>
                <c:pt idx="5">
                  <c:v>0.104783599088838</c:v>
                </c:pt>
              </c:numCache>
            </c:numRef>
          </c:val>
          <c:smooth val="0"/>
        </c:ser>
        <c:dLbls>
          <c:showLegendKey val="0"/>
          <c:showVal val="0"/>
          <c:showCatName val="0"/>
          <c:showSerName val="0"/>
          <c:showPercent val="0"/>
          <c:showBubbleSize val="0"/>
        </c:dLbls>
        <c:marker val="1"/>
        <c:smooth val="0"/>
        <c:axId val="235218816"/>
        <c:axId val="235220352"/>
      </c:lineChart>
      <c:catAx>
        <c:axId val="23521100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5217280"/>
        <c:crosses val="autoZero"/>
        <c:auto val="1"/>
        <c:lblAlgn val="ctr"/>
        <c:lblOffset val="100"/>
        <c:noMultiLvlLbl val="0"/>
      </c:catAx>
      <c:valAx>
        <c:axId val="2352172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35211008"/>
        <c:crosses val="autoZero"/>
        <c:crossBetween val="between"/>
      </c:valAx>
      <c:catAx>
        <c:axId val="235218816"/>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5220352"/>
        <c:crosses val="autoZero"/>
        <c:auto val="1"/>
        <c:lblAlgn val="ctr"/>
        <c:lblOffset val="100"/>
        <c:noMultiLvlLbl val="0"/>
      </c:catAx>
      <c:valAx>
        <c:axId val="235220352"/>
        <c:scaling>
          <c:orientation val="minMax"/>
        </c:scaling>
        <c:delete val="0"/>
        <c:axPos val="r"/>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35218816"/>
        <c:crosses val="max"/>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[工作簿1.xlsx]Sheet10!$I$325</c:f>
              <c:strCache>
                <c:ptCount val="1"/>
                <c:pt idx="0">
                  <c:v> 人数</c:v>
                </c:pt>
              </c:strCache>
            </c:strRef>
          </c:tx>
          <c:spPr>
            <a:solidFill>
              <a:schemeClr val="accent1"/>
            </a:solidFill>
            <a:ln>
              <a:noFill/>
            </a:ln>
            <a:effectLst/>
          </c:spPr>
          <c:invertIfNegative val="0"/>
          <c:dLbls>
            <c:delete val="1"/>
          </c:dLbls>
          <c:cat>
            <c:strRef>
              <c:f>[工作簿1.xlsx]Sheet10!$H$326:$H$330</c:f>
              <c:strCache>
                <c:ptCount val="4"/>
                <c:pt idx="0">
                  <c:v>河北</c:v>
                </c:pt>
                <c:pt idx="1">
                  <c:v>东部地区</c:v>
                </c:pt>
                <c:pt idx="2">
                  <c:v>中部地区</c:v>
                </c:pt>
                <c:pt idx="3">
                  <c:v>西部地区</c:v>
                </c:pt>
              </c:strCache>
            </c:strRef>
          </c:cat>
          <c:val>
            <c:numRef>
              <c:f>[工作簿1.xlsx]Sheet10!$I$326:$I$330</c:f>
              <c:numCache>
                <c:formatCode>General</c:formatCode>
                <c:ptCount val="4"/>
                <c:pt idx="0">
                  <c:v>756</c:v>
                </c:pt>
                <c:pt idx="1">
                  <c:v>498</c:v>
                </c:pt>
                <c:pt idx="2">
                  <c:v>50</c:v>
                </c:pt>
                <c:pt idx="3">
                  <c:v>13</c:v>
                </c:pt>
              </c:numCache>
            </c:numRef>
          </c:val>
        </c:ser>
        <c:dLbls>
          <c:showLegendKey val="0"/>
          <c:showVal val="0"/>
          <c:showCatName val="0"/>
          <c:showSerName val="0"/>
          <c:showPercent val="0"/>
          <c:showBubbleSize val="0"/>
        </c:dLbls>
        <c:gapWidth val="219"/>
        <c:overlap val="-27"/>
        <c:axId val="235239296"/>
        <c:axId val="235241472"/>
      </c:barChart>
      <c:lineChart>
        <c:grouping val="stacked"/>
        <c:varyColors val="0"/>
        <c:ser>
          <c:idx val="1"/>
          <c:order val="1"/>
          <c:tx>
            <c:strRef>
              <c:f>[工作簿1.xlsx]Sheet10!$J$325</c:f>
              <c:strCache>
                <c:ptCount val="1"/>
                <c:pt idx="0">
                  <c:v>百分比</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elete val="1"/>
          </c:dLbls>
          <c:cat>
            <c:strRef>
              <c:f>[工作簿1.xlsx]Sheet10!$H$326:$H$330</c:f>
              <c:strCache>
                <c:ptCount val="4"/>
                <c:pt idx="0">
                  <c:v>河北</c:v>
                </c:pt>
                <c:pt idx="1">
                  <c:v>东部地区</c:v>
                </c:pt>
                <c:pt idx="2">
                  <c:v>中部地区</c:v>
                </c:pt>
                <c:pt idx="3">
                  <c:v>西部地区</c:v>
                </c:pt>
              </c:strCache>
            </c:strRef>
          </c:cat>
          <c:val>
            <c:numRef>
              <c:f>[工作簿1.xlsx]Sheet10!$J$326:$J$330</c:f>
              <c:numCache>
                <c:formatCode>0.00%</c:formatCode>
                <c:ptCount val="4"/>
                <c:pt idx="0">
                  <c:v>0.574031890660592</c:v>
                </c:pt>
                <c:pt idx="1">
                  <c:v>0.378132118451025</c:v>
                </c:pt>
                <c:pt idx="2">
                  <c:v>0.0379650721336371</c:v>
                </c:pt>
                <c:pt idx="3">
                  <c:v>0.00987091875474563</c:v>
                </c:pt>
              </c:numCache>
            </c:numRef>
          </c:val>
          <c:smooth val="0"/>
        </c:ser>
        <c:dLbls>
          <c:showLegendKey val="0"/>
          <c:showVal val="0"/>
          <c:showCatName val="0"/>
          <c:showSerName val="0"/>
          <c:showPercent val="0"/>
          <c:showBubbleSize val="0"/>
        </c:dLbls>
        <c:marker val="1"/>
        <c:smooth val="0"/>
        <c:axId val="235243008"/>
        <c:axId val="235244544"/>
      </c:lineChart>
      <c:catAx>
        <c:axId val="23523929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5241472"/>
        <c:crosses val="autoZero"/>
        <c:auto val="1"/>
        <c:lblAlgn val="ctr"/>
        <c:lblOffset val="100"/>
        <c:noMultiLvlLbl val="0"/>
      </c:catAx>
      <c:valAx>
        <c:axId val="2352414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35239296"/>
        <c:crosses val="autoZero"/>
        <c:crossBetween val="between"/>
      </c:valAx>
      <c:catAx>
        <c:axId val="235243008"/>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5244544"/>
        <c:crosses val="autoZero"/>
        <c:auto val="1"/>
        <c:lblAlgn val="ctr"/>
        <c:lblOffset val="100"/>
        <c:noMultiLvlLbl val="0"/>
      </c:catAx>
      <c:valAx>
        <c:axId val="235244544"/>
        <c:scaling>
          <c:orientation val="minMax"/>
        </c:scaling>
        <c:delete val="0"/>
        <c:axPos val="r"/>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35243008"/>
        <c:crosses val="max"/>
        <c:crossBetween val="between"/>
        <c:majorUnit val="0.2"/>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dTable>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[工作簿1.xlsx]Sheet10!$H$364</c:f>
              <c:strCache>
                <c:ptCount val="1"/>
                <c:pt idx="0">
                  <c:v>汇总</c:v>
                </c:pt>
              </c:strCache>
            </c:strRef>
          </c:tx>
          <c:spPr>
            <a:solidFill>
              <a:schemeClr val="bg2">
                <a:lumMod val="75000"/>
              </a:schemeClr>
            </a:solidFill>
          </c:spPr>
          <c:explosion val="0"/>
          <c:dPt>
            <c:idx val="0"/>
            <c:bubble3D val="0"/>
            <c:spPr>
              <a:solidFill>
                <a:schemeClr val="accent1">
                  <a:lumMod val="60000"/>
                  <a:lumOff val="40000"/>
                </a:schemeClr>
              </a:solidFill>
              <a:ln>
                <a:noFill/>
              </a:ln>
              <a:effectLst/>
            </c:spPr>
          </c:dPt>
          <c:dPt>
            <c:idx val="1"/>
            <c:bubble3D val="0"/>
            <c:spPr>
              <a:solidFill>
                <a:schemeClr val="accent1">
                  <a:lumMod val="75000"/>
                </a:schemeClr>
              </a:solidFill>
              <a:ln>
                <a:noFill/>
              </a:ln>
              <a:effectLst/>
            </c:spPr>
          </c:dPt>
          <c:dPt>
            <c:idx val="2"/>
            <c:bubble3D val="0"/>
            <c:spPr>
              <a:solidFill>
                <a:schemeClr val="bg2">
                  <a:lumMod val="50000"/>
                </a:schemeClr>
              </a:solidFill>
              <a:ln>
                <a:noFill/>
              </a:ln>
              <a:effectLst/>
            </c:spPr>
          </c:dPt>
          <c:dLbls>
            <c:delete val="1"/>
          </c:dLbls>
          <c:cat>
            <c:strRef>
              <c:f>[工作簿1.xlsx]Sheet10!$G$365:$G$368</c:f>
              <c:strCache>
                <c:ptCount val="3"/>
                <c:pt idx="0">
                  <c:v>城郊或乡镇</c:v>
                </c:pt>
                <c:pt idx="1">
                  <c:v>城市</c:v>
                </c:pt>
                <c:pt idx="2">
                  <c:v>农村</c:v>
                </c:pt>
              </c:strCache>
            </c:strRef>
          </c:cat>
          <c:val>
            <c:numRef>
              <c:f>[工作簿1.xlsx]Sheet10!$H$365:$H$368</c:f>
              <c:numCache>
                <c:formatCode>0.00%</c:formatCode>
                <c:ptCount val="3"/>
                <c:pt idx="0">
                  <c:v>0.223993925588459</c:v>
                </c:pt>
                <c:pt idx="1">
                  <c:v>0.749430523917996</c:v>
                </c:pt>
                <c:pt idx="2">
                  <c:v>0.0265755504935459</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0515771088051"/>
          <c:y val="0.006750892082168"/>
          <c:w val="0.734706668036577"/>
          <c:h val="0.904368791590317"/>
        </c:manualLayout>
      </c:layout>
      <c:barChart>
        <c:barDir val="bar"/>
        <c:grouping val="clustered"/>
        <c:varyColors val="0"/>
        <c:ser>
          <c:idx val="0"/>
          <c:order val="0"/>
          <c:tx>
            <c:strRef>
              <c:f>[工作簿1.xlsx]Sheet14!$E$25</c:f>
              <c:strCache>
                <c:ptCount val="1"/>
                <c:pt idx="0">
                  <c:v> 人数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[工作簿1.xlsx]Sheet14!$D$26:$D$46</c:f>
              <c:strCache>
                <c:ptCount val="20"/>
                <c:pt idx="0">
                  <c:v>采矿业</c:v>
                </c:pt>
                <c:pt idx="1">
                  <c:v>电力，热力，燃气及水生产和供应业 </c:v>
                </c:pt>
                <c:pt idx="2">
                  <c:v>房地产业</c:v>
                </c:pt>
                <c:pt idx="3">
                  <c:v>公共管理，社会保障和社会组织</c:v>
                </c:pt>
                <c:pt idx="4">
                  <c:v>国际组织</c:v>
                </c:pt>
                <c:pt idx="5">
                  <c:v>建筑业</c:v>
                </c:pt>
                <c:pt idx="6">
                  <c:v>教育</c:v>
                </c:pt>
                <c:pt idx="7">
                  <c:v>金融业</c:v>
                </c:pt>
                <c:pt idx="8">
                  <c:v>居民服务，修理和其他去服务业</c:v>
                </c:pt>
                <c:pt idx="9">
                  <c:v>军队</c:v>
                </c:pt>
                <c:pt idx="10">
                  <c:v>科学研究和技术服务业</c:v>
                </c:pt>
                <c:pt idx="11">
                  <c:v>农，林，牧，渔业</c:v>
                </c:pt>
                <c:pt idx="12">
                  <c:v>批发和零售业</c:v>
                </c:pt>
                <c:pt idx="13">
                  <c:v>其他</c:v>
                </c:pt>
                <c:pt idx="14">
                  <c:v>卫生和社会工作</c:v>
                </c:pt>
                <c:pt idx="15">
                  <c:v>文化，体育和娱乐业</c:v>
                </c:pt>
                <c:pt idx="16">
                  <c:v>信息输出，软件和信息技术服务业</c:v>
                </c:pt>
                <c:pt idx="17">
                  <c:v>制造业</c:v>
                </c:pt>
                <c:pt idx="18">
                  <c:v>住宿和餐饮业</c:v>
                </c:pt>
                <c:pt idx="19">
                  <c:v>租贷和商务服务业</c:v>
                </c:pt>
              </c:strCache>
            </c:strRef>
          </c:cat>
          <c:val>
            <c:numRef>
              <c:f>[工作簿1.xlsx]Sheet14!$E$26:$E$46</c:f>
              <c:numCache>
                <c:formatCode>General</c:formatCode>
                <c:ptCount val="20"/>
                <c:pt idx="0">
                  <c:v>7</c:v>
                </c:pt>
                <c:pt idx="1">
                  <c:v>9</c:v>
                </c:pt>
                <c:pt idx="2">
                  <c:v>13</c:v>
                </c:pt>
                <c:pt idx="3">
                  <c:v>56</c:v>
                </c:pt>
                <c:pt idx="4">
                  <c:v>5</c:v>
                </c:pt>
                <c:pt idx="5">
                  <c:v>7</c:v>
                </c:pt>
                <c:pt idx="6">
                  <c:v>370</c:v>
                </c:pt>
                <c:pt idx="7">
                  <c:v>56</c:v>
                </c:pt>
                <c:pt idx="8">
                  <c:v>7</c:v>
                </c:pt>
                <c:pt idx="9">
                  <c:v>9</c:v>
                </c:pt>
                <c:pt idx="10">
                  <c:v>9</c:v>
                </c:pt>
                <c:pt idx="11">
                  <c:v>7</c:v>
                </c:pt>
                <c:pt idx="12">
                  <c:v>10</c:v>
                </c:pt>
                <c:pt idx="13">
                  <c:v>100</c:v>
                </c:pt>
                <c:pt idx="14">
                  <c:v>7</c:v>
                </c:pt>
                <c:pt idx="15">
                  <c:v>494</c:v>
                </c:pt>
                <c:pt idx="16">
                  <c:v>121</c:v>
                </c:pt>
                <c:pt idx="17">
                  <c:v>5</c:v>
                </c:pt>
                <c:pt idx="18">
                  <c:v>18</c:v>
                </c:pt>
                <c:pt idx="19">
                  <c:v>7</c:v>
                </c:pt>
              </c:numCache>
            </c:numRef>
          </c:val>
        </c:ser>
        <c:ser>
          <c:idx val="1"/>
          <c:order val="1"/>
          <c:tx>
            <c:strRef>
              <c:f>[工作簿1.xlsx]Sheet14!$F$25</c:f>
              <c:strCache>
                <c:ptCount val="1"/>
                <c:pt idx="0">
                  <c:v>百分比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[工作簿1.xlsx]Sheet14!$D$26:$D$46</c:f>
              <c:strCache>
                <c:ptCount val="20"/>
                <c:pt idx="0">
                  <c:v>采矿业</c:v>
                </c:pt>
                <c:pt idx="1">
                  <c:v>电力，热力，燃气及水生产和供应业 </c:v>
                </c:pt>
                <c:pt idx="2">
                  <c:v>房地产业</c:v>
                </c:pt>
                <c:pt idx="3">
                  <c:v>公共管理，社会保障和社会组织</c:v>
                </c:pt>
                <c:pt idx="4">
                  <c:v>国际组织</c:v>
                </c:pt>
                <c:pt idx="5">
                  <c:v>建筑业</c:v>
                </c:pt>
                <c:pt idx="6">
                  <c:v>教育</c:v>
                </c:pt>
                <c:pt idx="7">
                  <c:v>金融业</c:v>
                </c:pt>
                <c:pt idx="8">
                  <c:v>居民服务，修理和其他去服务业</c:v>
                </c:pt>
                <c:pt idx="9">
                  <c:v>军队</c:v>
                </c:pt>
                <c:pt idx="10">
                  <c:v>科学研究和技术服务业</c:v>
                </c:pt>
                <c:pt idx="11">
                  <c:v>农，林，牧，渔业</c:v>
                </c:pt>
                <c:pt idx="12">
                  <c:v>批发和零售业</c:v>
                </c:pt>
                <c:pt idx="13">
                  <c:v>其他</c:v>
                </c:pt>
                <c:pt idx="14">
                  <c:v>卫生和社会工作</c:v>
                </c:pt>
                <c:pt idx="15">
                  <c:v>文化，体育和娱乐业</c:v>
                </c:pt>
                <c:pt idx="16">
                  <c:v>信息输出，软件和信息技术服务业</c:v>
                </c:pt>
                <c:pt idx="17">
                  <c:v>制造业</c:v>
                </c:pt>
                <c:pt idx="18">
                  <c:v>住宿和餐饮业</c:v>
                </c:pt>
                <c:pt idx="19">
                  <c:v>租贷和商务服务业</c:v>
                </c:pt>
              </c:strCache>
            </c:strRef>
          </c:cat>
          <c:val>
            <c:numRef>
              <c:f>[工作簿1.xlsx]Sheet14!$F$26:$F$46</c:f>
              <c:numCache>
                <c:formatCode>0.00%</c:formatCode>
                <c:ptCount val="20"/>
                <c:pt idx="0">
                  <c:v>0.00531511009870919</c:v>
                </c:pt>
                <c:pt idx="1">
                  <c:v>0.00683371298405467</c:v>
                </c:pt>
                <c:pt idx="2">
                  <c:v>0.00987091875474563</c:v>
                </c:pt>
                <c:pt idx="3">
                  <c:v>0.0425208807896735</c:v>
                </c:pt>
                <c:pt idx="4">
                  <c:v>0.00379650721336371</c:v>
                </c:pt>
                <c:pt idx="5">
                  <c:v>0.00531511009870919</c:v>
                </c:pt>
                <c:pt idx="6">
                  <c:v>0.280941533788914</c:v>
                </c:pt>
                <c:pt idx="7">
                  <c:v>0.0425208807896735</c:v>
                </c:pt>
                <c:pt idx="8">
                  <c:v>0.00531511009870919</c:v>
                </c:pt>
                <c:pt idx="9">
                  <c:v>0.00683371298405467</c:v>
                </c:pt>
                <c:pt idx="10">
                  <c:v>0.00683371298405467</c:v>
                </c:pt>
                <c:pt idx="11">
                  <c:v>0.00531511009870919</c:v>
                </c:pt>
                <c:pt idx="12">
                  <c:v>0.00759301442672741</c:v>
                </c:pt>
                <c:pt idx="13">
                  <c:v>0.0759301442672741</c:v>
                </c:pt>
                <c:pt idx="14">
                  <c:v>0.00531511009870919</c:v>
                </c:pt>
                <c:pt idx="15">
                  <c:v>0.375094912680334</c:v>
                </c:pt>
                <c:pt idx="16">
                  <c:v>0.0918754745634017</c:v>
                </c:pt>
                <c:pt idx="17">
                  <c:v>0.00379650721336371</c:v>
                </c:pt>
                <c:pt idx="18">
                  <c:v>0.0136674259681093</c:v>
                </c:pt>
                <c:pt idx="19">
                  <c:v>0.00531511009870919</c:v>
                </c:pt>
              </c:numCache>
            </c:numRef>
          </c:val>
        </c:ser>
        <c:dLbls>
          <c:showLegendKey val="0"/>
          <c:showVal val="1"/>
          <c:showCatName val="0"/>
          <c:showSerName val="0"/>
          <c:showPercent val="0"/>
          <c:showBubbleSize val="0"/>
        </c:dLbls>
        <c:gapWidth val="219"/>
        <c:axId val="235279872"/>
        <c:axId val="235281408"/>
      </c:barChart>
      <c:catAx>
        <c:axId val="235279872"/>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cap="none" spc="0" normalizeH="0" baseline="0">
                <a:solidFill>
                  <a:sysClr val="windowText" lastClr="000000"/>
                </a:solidFill>
                <a:uFill>
                  <a:solidFill>
                    <a:schemeClr val="tx1">
                      <a:lumMod val="65000"/>
                      <a:lumOff val="35000"/>
                    </a:schemeClr>
                  </a:solidFill>
                </a:uFill>
                <a:latin typeface="+mn-lt"/>
                <a:ea typeface="+mn-ea"/>
                <a:cs typeface="+mn-cs"/>
              </a:defRPr>
            </a:pPr>
          </a:p>
        </c:txPr>
        <c:crossAx val="235281408"/>
        <c:crosses val="autoZero"/>
        <c:auto val="1"/>
        <c:lblAlgn val="ctr"/>
        <c:lblOffset val="100"/>
        <c:noMultiLvlLbl val="0"/>
      </c:catAx>
      <c:valAx>
        <c:axId val="235281408"/>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35279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[工作簿1.xlsx]Sheet12!$E$18</c:f>
              <c:strCache>
                <c:ptCount val="1"/>
                <c:pt idx="0">
                  <c:v> 人数</c:v>
                </c:pt>
              </c:strCache>
            </c:strRef>
          </c:tx>
          <c:spPr>
            <a:solidFill>
              <a:schemeClr val="accent1"/>
            </a:solidFill>
            <a:ln>
              <a:noFill/>
            </a:ln>
            <a:effectLst/>
          </c:spPr>
          <c:invertIfNegative val="0"/>
          <c:dLbls>
            <c:delete val="1"/>
          </c:dLbls>
          <c:cat>
            <c:strRef>
              <c:f>[工作簿1.xlsx]Sheet12!$D$19:$D$32</c:f>
              <c:strCache>
                <c:ptCount val="13"/>
                <c:pt idx="0">
                  <c:v>机关</c:v>
                </c:pt>
                <c:pt idx="1">
                  <c:v>科研设计单位</c:v>
                </c:pt>
                <c:pt idx="2">
                  <c:v>高等教育单位</c:v>
                </c:pt>
                <c:pt idx="3">
                  <c:v>中初教育单位</c:v>
                </c:pt>
                <c:pt idx="4">
                  <c:v>医疗卫生单位</c:v>
                </c:pt>
                <c:pt idx="5">
                  <c:v>其他事业单位</c:v>
                </c:pt>
                <c:pt idx="6">
                  <c:v>国有企业</c:v>
                </c:pt>
                <c:pt idx="7">
                  <c:v>三资企业</c:v>
                </c:pt>
                <c:pt idx="8">
                  <c:v>其他企业</c:v>
                </c:pt>
                <c:pt idx="9">
                  <c:v>部队</c:v>
                </c:pt>
                <c:pt idx="10">
                  <c:v>农村建制村</c:v>
                </c:pt>
                <c:pt idx="11">
                  <c:v>城镇社区</c:v>
                </c:pt>
                <c:pt idx="12">
                  <c:v>其他</c:v>
                </c:pt>
              </c:strCache>
            </c:strRef>
          </c:cat>
          <c:val>
            <c:numRef>
              <c:f>[工作簿1.xlsx]Sheet12!$E$19:$E$32</c:f>
              <c:numCache>
                <c:formatCode>General</c:formatCode>
                <c:ptCount val="13"/>
                <c:pt idx="0">
                  <c:v>135</c:v>
                </c:pt>
                <c:pt idx="1">
                  <c:v>7</c:v>
                </c:pt>
                <c:pt idx="2">
                  <c:v>85</c:v>
                </c:pt>
                <c:pt idx="3">
                  <c:v>145</c:v>
                </c:pt>
                <c:pt idx="4">
                  <c:v>7</c:v>
                </c:pt>
                <c:pt idx="5">
                  <c:v>165</c:v>
                </c:pt>
                <c:pt idx="6">
                  <c:v>155</c:v>
                </c:pt>
                <c:pt idx="7">
                  <c:v>45</c:v>
                </c:pt>
                <c:pt idx="8">
                  <c:v>456</c:v>
                </c:pt>
                <c:pt idx="9">
                  <c:v>4</c:v>
                </c:pt>
                <c:pt idx="10">
                  <c:v>4</c:v>
                </c:pt>
                <c:pt idx="11">
                  <c:v>9</c:v>
                </c:pt>
                <c:pt idx="12">
                  <c:v>100</c:v>
                </c:pt>
              </c:numCache>
            </c:numRef>
          </c:val>
        </c:ser>
        <c:dLbls>
          <c:showLegendKey val="0"/>
          <c:showVal val="0"/>
          <c:showCatName val="0"/>
          <c:showSerName val="0"/>
          <c:showPercent val="0"/>
          <c:showBubbleSize val="0"/>
        </c:dLbls>
        <c:gapWidth val="219"/>
        <c:overlap val="-27"/>
        <c:axId val="235307008"/>
        <c:axId val="235308928"/>
      </c:barChart>
      <c:lineChart>
        <c:grouping val="stacked"/>
        <c:varyColors val="0"/>
        <c:ser>
          <c:idx val="1"/>
          <c:order val="1"/>
          <c:tx>
            <c:strRef>
              <c:f>[工作簿1.xlsx]Sheet12!$F$18</c:f>
              <c:strCache>
                <c:ptCount val="1"/>
                <c:pt idx="0">
                  <c:v>百分比</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elete val="1"/>
          </c:dLbls>
          <c:cat>
            <c:strRef>
              <c:f>[工作簿1.xlsx]Sheet12!$D$19:$D$32</c:f>
              <c:strCache>
                <c:ptCount val="13"/>
                <c:pt idx="0">
                  <c:v>机关</c:v>
                </c:pt>
                <c:pt idx="1">
                  <c:v>科研设计单位</c:v>
                </c:pt>
                <c:pt idx="2">
                  <c:v>高等教育单位</c:v>
                </c:pt>
                <c:pt idx="3">
                  <c:v>中初教育单位</c:v>
                </c:pt>
                <c:pt idx="4">
                  <c:v>医疗卫生单位</c:v>
                </c:pt>
                <c:pt idx="5">
                  <c:v>其他事业单位</c:v>
                </c:pt>
                <c:pt idx="6">
                  <c:v>国有企业</c:v>
                </c:pt>
                <c:pt idx="7">
                  <c:v>三资企业</c:v>
                </c:pt>
                <c:pt idx="8">
                  <c:v>其他企业</c:v>
                </c:pt>
                <c:pt idx="9">
                  <c:v>部队</c:v>
                </c:pt>
                <c:pt idx="10">
                  <c:v>农村建制村</c:v>
                </c:pt>
                <c:pt idx="11">
                  <c:v>城镇社区</c:v>
                </c:pt>
                <c:pt idx="12">
                  <c:v>其他</c:v>
                </c:pt>
              </c:strCache>
            </c:strRef>
          </c:cat>
          <c:val>
            <c:numRef>
              <c:f>[工作簿1.xlsx]Sheet12!$F$19:$F$32</c:f>
              <c:numCache>
                <c:formatCode>0.00%</c:formatCode>
                <c:ptCount val="13"/>
                <c:pt idx="0">
                  <c:v>0.10250569476082</c:v>
                </c:pt>
                <c:pt idx="1">
                  <c:v>0.00531511009870919</c:v>
                </c:pt>
                <c:pt idx="2">
                  <c:v>0.064540622627183</c:v>
                </c:pt>
                <c:pt idx="3">
                  <c:v>0.110098709187547</c:v>
                </c:pt>
                <c:pt idx="4">
                  <c:v>0.00531511009870919</c:v>
                </c:pt>
                <c:pt idx="5">
                  <c:v>0.125284738041002</c:v>
                </c:pt>
                <c:pt idx="6">
                  <c:v>0.117691723614275</c:v>
                </c:pt>
                <c:pt idx="7">
                  <c:v>0.0341685649202734</c:v>
                </c:pt>
                <c:pt idx="8">
                  <c:v>0.34624145785877</c:v>
                </c:pt>
                <c:pt idx="9">
                  <c:v>0.00303720577069096</c:v>
                </c:pt>
                <c:pt idx="10">
                  <c:v>0.00303720577069096</c:v>
                </c:pt>
                <c:pt idx="11">
                  <c:v>0.00683371298405467</c:v>
                </c:pt>
                <c:pt idx="12">
                  <c:v>0.0759301442672741</c:v>
                </c:pt>
              </c:numCache>
            </c:numRef>
          </c:val>
          <c:smooth val="0"/>
        </c:ser>
        <c:dLbls>
          <c:showLegendKey val="0"/>
          <c:showVal val="0"/>
          <c:showCatName val="0"/>
          <c:showSerName val="0"/>
          <c:showPercent val="0"/>
          <c:showBubbleSize val="0"/>
        </c:dLbls>
        <c:marker val="1"/>
        <c:smooth val="0"/>
        <c:axId val="235310464"/>
        <c:axId val="235316352"/>
      </c:lineChart>
      <c:catAx>
        <c:axId val="23530700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5308928"/>
        <c:crosses val="autoZero"/>
        <c:auto val="1"/>
        <c:lblAlgn val="ctr"/>
        <c:lblOffset val="100"/>
        <c:noMultiLvlLbl val="0"/>
      </c:catAx>
      <c:valAx>
        <c:axId val="2353089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35307008"/>
        <c:crosses val="autoZero"/>
        <c:crossBetween val="between"/>
      </c:valAx>
      <c:catAx>
        <c:axId val="235310464"/>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5316352"/>
        <c:crosses val="autoZero"/>
        <c:auto val="1"/>
        <c:lblAlgn val="ctr"/>
        <c:lblOffset val="100"/>
        <c:noMultiLvlLbl val="0"/>
      </c:catAx>
      <c:valAx>
        <c:axId val="235316352"/>
        <c:scaling>
          <c:orientation val="minMax"/>
        </c:scaling>
        <c:delete val="0"/>
        <c:axPos val="r"/>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35310464"/>
        <c:crosses val="max"/>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[工作簿1.xlsx]Sheet12!$E$54</c:f>
              <c:strCache>
                <c:ptCount val="1"/>
                <c:pt idx="0">
                  <c:v> 人数</c:v>
                </c:pt>
              </c:strCache>
            </c:strRef>
          </c:tx>
          <c:spPr>
            <a:solidFill>
              <a:schemeClr val="accent1"/>
            </a:solidFill>
            <a:ln>
              <a:noFill/>
            </a:ln>
            <a:effectLst/>
          </c:spPr>
          <c:invertIfNegative val="0"/>
          <c:dLbls>
            <c:delete val="1"/>
          </c:dLbls>
          <c:cat>
            <c:strRef>
              <c:f>[工作簿1.xlsx]Sheet12!$D$55:$D$60</c:f>
              <c:strCache>
                <c:ptCount val="5"/>
                <c:pt idx="0">
                  <c:v>很积极</c:v>
                </c:pt>
                <c:pt idx="1">
                  <c:v>积极</c:v>
                </c:pt>
                <c:pt idx="2">
                  <c:v>不好说</c:v>
                </c:pt>
                <c:pt idx="3">
                  <c:v>不积极</c:v>
                </c:pt>
                <c:pt idx="4">
                  <c:v>很不积极</c:v>
                </c:pt>
              </c:strCache>
            </c:strRef>
          </c:cat>
          <c:val>
            <c:numRef>
              <c:f>[工作簿1.xlsx]Sheet12!$E$55:$E$60</c:f>
              <c:numCache>
                <c:formatCode>General</c:formatCode>
                <c:ptCount val="5"/>
                <c:pt idx="0">
                  <c:v>526</c:v>
                </c:pt>
                <c:pt idx="1">
                  <c:v>586</c:v>
                </c:pt>
                <c:pt idx="2">
                  <c:v>123</c:v>
                </c:pt>
                <c:pt idx="3">
                  <c:v>75</c:v>
                </c:pt>
                <c:pt idx="4">
                  <c:v>7</c:v>
                </c:pt>
              </c:numCache>
            </c:numRef>
          </c:val>
        </c:ser>
        <c:dLbls>
          <c:showLegendKey val="0"/>
          <c:showVal val="0"/>
          <c:showCatName val="0"/>
          <c:showSerName val="0"/>
          <c:showPercent val="0"/>
          <c:showBubbleSize val="0"/>
        </c:dLbls>
        <c:gapWidth val="219"/>
        <c:overlap val="-27"/>
        <c:axId val="235332352"/>
        <c:axId val="235334272"/>
      </c:barChart>
      <c:lineChart>
        <c:grouping val="stacked"/>
        <c:varyColors val="0"/>
        <c:ser>
          <c:idx val="1"/>
          <c:order val="1"/>
          <c:tx>
            <c:strRef>
              <c:f>[工作簿1.xlsx]Sheet12!$F$54</c:f>
              <c:strCache>
                <c:ptCount val="1"/>
                <c:pt idx="0">
                  <c:v>百分比</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elete val="1"/>
          </c:dLbls>
          <c:cat>
            <c:strRef>
              <c:f>[工作簿1.xlsx]Sheet12!$D$55:$D$60</c:f>
              <c:strCache>
                <c:ptCount val="5"/>
                <c:pt idx="0">
                  <c:v>很积极</c:v>
                </c:pt>
                <c:pt idx="1">
                  <c:v>积极</c:v>
                </c:pt>
                <c:pt idx="2">
                  <c:v>不好说</c:v>
                </c:pt>
                <c:pt idx="3">
                  <c:v>不积极</c:v>
                </c:pt>
                <c:pt idx="4">
                  <c:v>很不积极</c:v>
                </c:pt>
              </c:strCache>
            </c:strRef>
          </c:cat>
          <c:val>
            <c:numRef>
              <c:f>[工作簿1.xlsx]Sheet12!$F$55:$F$60</c:f>
              <c:numCache>
                <c:formatCode>0.00%</c:formatCode>
                <c:ptCount val="5"/>
                <c:pt idx="0">
                  <c:v>0.399392558845862</c:v>
                </c:pt>
                <c:pt idx="1">
                  <c:v>0.444950645406226</c:v>
                </c:pt>
                <c:pt idx="2">
                  <c:v>0.0933940774487472</c:v>
                </c:pt>
                <c:pt idx="3">
                  <c:v>0.0569476082004556</c:v>
                </c:pt>
                <c:pt idx="4">
                  <c:v>0.00531511009870919</c:v>
                </c:pt>
              </c:numCache>
            </c:numRef>
          </c:val>
          <c:smooth val="0"/>
        </c:ser>
        <c:dLbls>
          <c:showLegendKey val="0"/>
          <c:showVal val="0"/>
          <c:showCatName val="0"/>
          <c:showSerName val="0"/>
          <c:showPercent val="0"/>
          <c:showBubbleSize val="0"/>
        </c:dLbls>
        <c:marker val="1"/>
        <c:smooth val="0"/>
        <c:axId val="235336064"/>
        <c:axId val="235337600"/>
      </c:lineChart>
      <c:catAx>
        <c:axId val="23533235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5334272"/>
        <c:crosses val="autoZero"/>
        <c:auto val="1"/>
        <c:lblAlgn val="ctr"/>
        <c:lblOffset val="100"/>
        <c:noMultiLvlLbl val="0"/>
      </c:catAx>
      <c:valAx>
        <c:axId val="2353342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35332352"/>
        <c:crosses val="autoZero"/>
        <c:crossBetween val="between"/>
      </c:valAx>
      <c:catAx>
        <c:axId val="235336064"/>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5337600"/>
        <c:crosses val="autoZero"/>
        <c:auto val="1"/>
        <c:lblAlgn val="ctr"/>
        <c:lblOffset val="100"/>
        <c:noMultiLvlLbl val="0"/>
      </c:catAx>
      <c:valAx>
        <c:axId val="235337600"/>
        <c:scaling>
          <c:orientation val="minMax"/>
        </c:scaling>
        <c:delete val="0"/>
        <c:axPos val="r"/>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35336064"/>
        <c:crosses val="max"/>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5585063089795"/>
          <c:y val="0.0822277949201304"/>
          <c:w val="0.683254345126528"/>
          <c:h val="0.802098820216281"/>
        </c:manualLayout>
      </c:layout>
      <c:radarChart>
        <c:radarStyle val="filled"/>
        <c:varyColors val="0"/>
        <c:ser>
          <c:idx val="0"/>
          <c:order val="0"/>
          <c:tx>
            <c:strRef>
              <c:f>Sheet1!$B$1</c:f>
              <c:strCache>
                <c:ptCount val="1"/>
                <c:pt idx="0">
                  <c:v/>
                </c:pt>
              </c:strCache>
            </c:strRef>
          </c:tx>
          <c:spPr>
            <a:solidFill>
              <a:srgbClr val="4D7FBB">
                <a:alpha val="60000"/>
              </a:srgbClr>
            </a:solidFill>
            <a:ln w="25400">
              <a:solidFill>
                <a:srgbClr val="376092"/>
              </a:solidFill>
              <a:prstDash val="sysDot"/>
            </a:ln>
            <a:effectLst/>
          </c:spPr>
          <c:dLbls>
            <c:dLbl>
              <c:idx val="9"/>
              <c:layout>
                <c:manualLayout>
                  <c:x val="-0.00240789790512882"/>
                  <c:y val="0.0129455611123499"/>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0_);[Red]\(#,##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Sheet1!$A$2:$A$17</c:f>
              <c:strCache>
                <c:ptCount val="16"/>
                <c:pt idx="0">
                  <c:v>有高于一般水平的年薪</c:v>
                </c:pt>
                <c:pt idx="1">
                  <c:v>施展个人的能力和特长</c:v>
                </c:pt>
                <c:pt idx="2">
                  <c:v>方便照顾父母</c:v>
                </c:pt>
                <c:pt idx="3">
                  <c:v>提高我国该行业的世界竞争力</c:v>
                </c:pt>
                <c:pt idx="4">
                  <c:v>容易晋升到高地位</c:v>
                </c:pt>
                <c:pt idx="5">
                  <c:v>磨练个人能力</c:v>
                </c:pt>
                <c:pt idx="6">
                  <c:v>为社会发展创造价值</c:v>
                </c:pt>
                <c:pt idx="7">
                  <c:v>和未来配偶在一起</c:v>
                </c:pt>
                <c:pt idx="8">
                  <c:v>享受高地位的个人空间</c:v>
                </c:pt>
                <c:pt idx="9">
                  <c:v>周围人羡慕我</c:v>
                </c:pt>
                <c:pt idx="10">
                  <c:v>实现个人的抱负和目标</c:v>
                </c:pt>
                <c:pt idx="11">
                  <c:v>带给人激情</c:v>
                </c:pt>
                <c:pt idx="12">
                  <c:v>改变目前令人担忧的社会现状</c:v>
                </c:pt>
                <c:pt idx="13">
                  <c:v>感到受重视</c:v>
                </c:pt>
                <c:pt idx="14">
                  <c:v>发挥自己的创造性</c:v>
                </c:pt>
                <c:pt idx="15">
                  <c:v>和家庭生活不相冲突</c:v>
                </c:pt>
              </c:strCache>
            </c:strRef>
          </c:cat>
          <c:val>
            <c:numRef>
              <c:f>Sheet1!$B$2:$B$17</c:f>
              <c:numCache>
                <c:formatCode>0.0_);[Red]\(0.0\)</c:formatCode>
                <c:ptCount val="16"/>
                <c:pt idx="0">
                  <c:v>3.99</c:v>
                </c:pt>
                <c:pt idx="1">
                  <c:v>4.33</c:v>
                </c:pt>
                <c:pt idx="2">
                  <c:v>4.13</c:v>
                </c:pt>
                <c:pt idx="3">
                  <c:v>3.74</c:v>
                </c:pt>
                <c:pt idx="4">
                  <c:v>3.96</c:v>
                </c:pt>
                <c:pt idx="5">
                  <c:v>4.45</c:v>
                </c:pt>
                <c:pt idx="6">
                  <c:v>4.18</c:v>
                </c:pt>
                <c:pt idx="7">
                  <c:v>3.7</c:v>
                </c:pt>
                <c:pt idx="8">
                  <c:v>3.71</c:v>
                </c:pt>
                <c:pt idx="9">
                  <c:v>3.21</c:v>
                </c:pt>
                <c:pt idx="10">
                  <c:v>4.26</c:v>
                </c:pt>
                <c:pt idx="11">
                  <c:v>4.17</c:v>
                </c:pt>
                <c:pt idx="12">
                  <c:v>3.8</c:v>
                </c:pt>
                <c:pt idx="13">
                  <c:v>3.93</c:v>
                </c:pt>
                <c:pt idx="14">
                  <c:v>4.34</c:v>
                </c:pt>
                <c:pt idx="15">
                  <c:v>4.23</c:v>
                </c:pt>
              </c:numCache>
            </c:numRef>
          </c:val>
        </c:ser>
        <c:dLbls>
          <c:showLegendKey val="0"/>
          <c:showVal val="1"/>
          <c:showCatName val="0"/>
          <c:showSerName val="0"/>
          <c:showPercent val="0"/>
          <c:showBubbleSize val="0"/>
        </c:dLbls>
        <c:axId val="235353984"/>
        <c:axId val="235356928"/>
      </c:radarChart>
      <c:catAx>
        <c:axId val="23535398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35356928"/>
        <c:crosses val="autoZero"/>
        <c:auto val="1"/>
        <c:lblAlgn val="ctr"/>
        <c:lblOffset val="100"/>
        <c:noMultiLvlLbl val="0"/>
      </c:catAx>
      <c:valAx>
        <c:axId val="235356928"/>
        <c:scaling>
          <c:orientation val="minMax"/>
          <c:max val="5"/>
          <c:min val="3.21"/>
        </c:scaling>
        <c:delete val="1"/>
        <c:axPos val="l"/>
        <c:majorGridlines>
          <c:spPr>
            <a:ln w="9525" cap="flat" cmpd="sng" algn="ctr">
              <a:solidFill>
                <a:schemeClr val="tx1">
                  <a:lumMod val="15000"/>
                  <a:lumOff val="85000"/>
                </a:schemeClr>
              </a:solidFill>
              <a:prstDash val="solid"/>
              <a:round/>
            </a:ln>
            <a:effectLst/>
          </c:spPr>
        </c:majorGridlines>
        <c:numFmt formatCode="#,##0.0_);\(#,##0.0\)" sourceLinked="0"/>
        <c:majorTickMark val="out"/>
        <c:minorTickMark val="none"/>
        <c:tickLblPos val="none"/>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235353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ysClr val="windowText" lastClr="000000"/>
          </a:solidFill>
        </a:defRPr>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6956329463792"/>
          <c:y val="0.0259259259259259"/>
          <c:w val="0.68824543946932"/>
          <c:h val="0.703055555555556"/>
        </c:manualLayout>
      </c:layout>
      <c:barChart>
        <c:barDir val="col"/>
        <c:grouping val="clustered"/>
        <c:varyColors val="0"/>
        <c:ser>
          <c:idx val="0"/>
          <c:order val="0"/>
          <c:tx>
            <c:strRef>
              <c:f>Sheet16!$G$13</c:f>
              <c:strCache>
                <c:ptCount val="1"/>
                <c:pt idx="0">
                  <c:v> 人数</c:v>
                </c:pt>
              </c:strCache>
            </c:strRef>
          </c:tx>
          <c:spPr>
            <a:solidFill>
              <a:schemeClr val="accent1"/>
            </a:solidFill>
            <a:ln>
              <a:noFill/>
            </a:ln>
            <a:effectLst/>
          </c:spPr>
          <c:invertIfNegative val="0"/>
          <c:dLbls>
            <c:delete val="1"/>
          </c:dLbls>
          <c:cat>
            <c:strRef>
              <c:f>Sheet16!$F$14:$F$18</c:f>
              <c:strCache>
                <c:ptCount val="4"/>
                <c:pt idx="0">
                  <c:v>河北</c:v>
                </c:pt>
                <c:pt idx="1">
                  <c:v>东部地区</c:v>
                </c:pt>
                <c:pt idx="2">
                  <c:v>中部地区</c:v>
                </c:pt>
                <c:pt idx="3">
                  <c:v>西部地区</c:v>
                </c:pt>
              </c:strCache>
            </c:strRef>
          </c:cat>
          <c:val>
            <c:numRef>
              <c:f>Sheet16!$G$14:$G$18</c:f>
              <c:numCache>
                <c:formatCode>General</c:formatCode>
                <c:ptCount val="4"/>
                <c:pt idx="0">
                  <c:v>634</c:v>
                </c:pt>
                <c:pt idx="1">
                  <c:v>496</c:v>
                </c:pt>
                <c:pt idx="2">
                  <c:v>68</c:v>
                </c:pt>
                <c:pt idx="3">
                  <c:v>40</c:v>
                </c:pt>
              </c:numCache>
            </c:numRef>
          </c:val>
        </c:ser>
        <c:dLbls>
          <c:showLegendKey val="0"/>
          <c:showVal val="0"/>
          <c:showCatName val="0"/>
          <c:showSerName val="0"/>
          <c:showPercent val="0"/>
          <c:showBubbleSize val="0"/>
        </c:dLbls>
        <c:gapWidth val="219"/>
        <c:overlap val="-27"/>
        <c:axId val="235374080"/>
        <c:axId val="235376000"/>
      </c:barChart>
      <c:lineChart>
        <c:grouping val="stacked"/>
        <c:varyColors val="0"/>
        <c:ser>
          <c:idx val="1"/>
          <c:order val="1"/>
          <c:tx>
            <c:strRef>
              <c:f>Sheet16!$H$13</c:f>
              <c:strCache>
                <c:ptCount val="1"/>
                <c:pt idx="0">
                  <c:v>百分比</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elete val="1"/>
          </c:dLbls>
          <c:cat>
            <c:strRef>
              <c:f>Sheet16!$F$14:$F$18</c:f>
              <c:strCache>
                <c:ptCount val="4"/>
                <c:pt idx="0">
                  <c:v>河北</c:v>
                </c:pt>
                <c:pt idx="1">
                  <c:v>东部地区</c:v>
                </c:pt>
                <c:pt idx="2">
                  <c:v>中部地区</c:v>
                </c:pt>
                <c:pt idx="3">
                  <c:v>西部地区</c:v>
                </c:pt>
              </c:strCache>
            </c:strRef>
          </c:cat>
          <c:val>
            <c:numRef>
              <c:f>Sheet16!$H$14:$H$18</c:f>
              <c:numCache>
                <c:formatCode>0.00%</c:formatCode>
                <c:ptCount val="4"/>
                <c:pt idx="0">
                  <c:v>0.512116316639742</c:v>
                </c:pt>
                <c:pt idx="1">
                  <c:v>0.40064620355412</c:v>
                </c:pt>
                <c:pt idx="2">
                  <c:v>0.0549273021001616</c:v>
                </c:pt>
                <c:pt idx="3">
                  <c:v>0.0323101777059774</c:v>
                </c:pt>
              </c:numCache>
            </c:numRef>
          </c:val>
          <c:smooth val="0"/>
        </c:ser>
        <c:dLbls>
          <c:showLegendKey val="0"/>
          <c:showVal val="0"/>
          <c:showCatName val="0"/>
          <c:showSerName val="0"/>
          <c:showPercent val="0"/>
          <c:showBubbleSize val="0"/>
        </c:dLbls>
        <c:marker val="1"/>
        <c:smooth val="0"/>
        <c:axId val="235377792"/>
        <c:axId val="235379328"/>
      </c:lineChart>
      <c:catAx>
        <c:axId val="23537408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35376000"/>
        <c:crosses val="autoZero"/>
        <c:auto val="1"/>
        <c:lblAlgn val="ctr"/>
        <c:lblOffset val="100"/>
        <c:noMultiLvlLbl val="0"/>
      </c:catAx>
      <c:valAx>
        <c:axId val="2353760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35374080"/>
        <c:crosses val="autoZero"/>
        <c:crossBetween val="between"/>
      </c:valAx>
      <c:catAx>
        <c:axId val="235377792"/>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235379328"/>
        <c:crosses val="autoZero"/>
        <c:auto val="1"/>
        <c:lblAlgn val="ctr"/>
        <c:lblOffset val="100"/>
        <c:noMultiLvlLbl val="0"/>
      </c:catAx>
      <c:valAx>
        <c:axId val="235379328"/>
        <c:scaling>
          <c:orientation val="minMax"/>
        </c:scaling>
        <c:delete val="0"/>
        <c:axPos val="r"/>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35377792"/>
        <c:crosses val="max"/>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ysClr val="windowText" lastClr="000000"/>
          </a:solidFill>
        </a:defRPr>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[书记.xlsx]Sheet2!$E$20</c:f>
              <c:strCache>
                <c:ptCount val="1"/>
                <c:pt idx="0">
                  <c:v>汇总</c:v>
                </c:pt>
              </c:strCache>
            </c:strRef>
          </c:tx>
          <c:explosion val="0"/>
          <c:dPt>
            <c:idx val="0"/>
            <c:bubble3D val="0"/>
            <c:spPr>
              <a:solidFill>
                <a:schemeClr val="accent1"/>
              </a:solidFill>
              <a:ln>
                <a:noFill/>
              </a:ln>
              <a:effectLst/>
            </c:spPr>
          </c:dPt>
          <c:dPt>
            <c:idx val="1"/>
            <c:bubble3D val="0"/>
            <c:spPr>
              <a:solidFill>
                <a:schemeClr val="accent1">
                  <a:lumMod val="60000"/>
                  <a:lumOff val="40000"/>
                </a:schemeClr>
              </a:solidFill>
              <a:ln>
                <a:noFill/>
              </a:ln>
              <a:effectLst/>
            </c:spPr>
          </c:dPt>
          <c:dPt>
            <c:idx val="2"/>
            <c:bubble3D val="0"/>
            <c:spPr>
              <a:solidFill>
                <a:schemeClr val="accent3"/>
              </a:solidFill>
              <a:ln>
                <a:noFill/>
              </a:ln>
              <a:effectLst/>
            </c:spPr>
          </c:dPt>
          <c:dLbls>
            <c:dLbl>
              <c:idx val="0"/>
              <c:layout>
                <c:manualLayout>
                  <c:x val="0.120321864641787"/>
                  <c:y val="-0.100417145071142"/>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r>
                      <a:rPr lang="zh-CN" altLang="en-US">
                        <a:solidFill>
                          <a:sysClr val="windowText" lastClr="000000"/>
                        </a:solidFill>
                      </a:rPr>
                      <a:t>城市，</a:t>
                    </a:r>
                    <a:r>
                      <a:rPr lang="en-US" altLang="zh-CN">
                        <a:solidFill>
                          <a:sysClr val="windowText" lastClr="000000"/>
                        </a:solidFill>
                      </a:rPr>
                      <a:t>1027</a:t>
                    </a:r>
                    <a:r>
                      <a:rPr lang="zh-CN" altLang="en-US">
                        <a:solidFill>
                          <a:sysClr val="windowText" lastClr="000000"/>
                        </a:solidFill>
                      </a:rPr>
                      <a:t>人，</a:t>
                    </a:r>
                    <a:r>
                      <a:rPr lang="en-US" altLang="zh-CN">
                        <a:solidFill>
                          <a:sysClr val="windowText" lastClr="000000"/>
                        </a:solidFill>
                      </a:rPr>
                      <a:t>82.96%</a:t>
                    </a:r>
                    <a:endParaRPr lang="en-US" altLang="zh-CN">
                      <a:solidFill>
                        <a:sysClr val="windowText" lastClr="000000"/>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752683186788031"/>
                  <c:y val="0.0158451474225515"/>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r>
                      <a:rPr lang="zh-CN" altLang="en-US">
                        <a:solidFill>
                          <a:sysClr val="windowText" lastClr="000000"/>
                        </a:solidFill>
                      </a:rPr>
                      <a:t>城郊与乡镇，</a:t>
                    </a:r>
                    <a:r>
                      <a:rPr lang="en-US" altLang="zh-CN">
                        <a:solidFill>
                          <a:sysClr val="windowText" lastClr="000000"/>
                        </a:solidFill>
                      </a:rPr>
                      <a:t>186</a:t>
                    </a:r>
                    <a:r>
                      <a:rPr lang="zh-CN" altLang="en-US">
                        <a:solidFill>
                          <a:sysClr val="windowText" lastClr="000000"/>
                        </a:solidFill>
                      </a:rPr>
                      <a:t>人，</a:t>
                    </a:r>
                    <a:r>
                      <a:rPr lang="en-US" altLang="zh-CN">
                        <a:solidFill>
                          <a:sysClr val="windowText" lastClr="000000"/>
                        </a:solidFill>
                      </a:rPr>
                      <a:t>15.02%</a:t>
                    </a:r>
                    <a:endParaRPr lang="en-US" altLang="zh-CN">
                      <a:solidFill>
                        <a:sysClr val="windowText" lastClr="000000"/>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67760585670477"/>
                  <c:y val="0.0381440310062732"/>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r>
                      <a:rPr lang="zh-CN" altLang="en-US">
                        <a:solidFill>
                          <a:sysClr val="windowText" lastClr="000000"/>
                        </a:solidFill>
                      </a:rPr>
                      <a:t>农村，</a:t>
                    </a:r>
                    <a:r>
                      <a:rPr lang="en-US" altLang="zh-CN">
                        <a:solidFill>
                          <a:sysClr val="windowText" lastClr="000000"/>
                        </a:solidFill>
                      </a:rPr>
                      <a:t>25</a:t>
                    </a:r>
                    <a:r>
                      <a:rPr lang="zh-CN" altLang="en-US">
                        <a:solidFill>
                          <a:sysClr val="windowText" lastClr="000000"/>
                        </a:solidFill>
                      </a:rPr>
                      <a:t>人</a:t>
                    </a:r>
                    <a:r>
                      <a:rPr lang="en-US" altLang="zh-CN">
                        <a:solidFill>
                          <a:sysClr val="windowText" lastClr="000000"/>
                        </a:solidFill>
                      </a:rPr>
                      <a:t>2.02%</a:t>
                    </a:r>
                    <a:endParaRPr lang="en-US" altLang="zh-CN">
                      <a:solidFill>
                        <a:sysClr val="windowText" lastClr="000000"/>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solidFill>
                <a:schemeClr val="accent1">
                  <a:lumMod val="20000"/>
                  <a:lumOff val="80000"/>
                </a:schemeClr>
              </a:solidFill>
              <a:ln>
                <a:solidFill>
                  <a:sysClr val="windowText" lastClr="000000"/>
                </a:solid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[书记.xlsx]Sheet2!$D$21:$D$24</c:f>
              <c:strCache>
                <c:ptCount val="3"/>
                <c:pt idx="0">
                  <c:v>城郊与乡镇</c:v>
                </c:pt>
                <c:pt idx="1">
                  <c:v>城市</c:v>
                </c:pt>
                <c:pt idx="2">
                  <c:v>农村</c:v>
                </c:pt>
              </c:strCache>
            </c:strRef>
          </c:cat>
          <c:val>
            <c:numRef>
              <c:f>[书记.xlsx]Sheet2!$E$21:$E$24</c:f>
              <c:numCache>
                <c:formatCode>0.00%</c:formatCode>
                <c:ptCount val="3"/>
                <c:pt idx="0">
                  <c:v>0.829563812600969</c:v>
                </c:pt>
                <c:pt idx="1">
                  <c:v>0.150242326332795</c:v>
                </c:pt>
                <c:pt idx="2">
                  <c:v>0.0201938610662359</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ysClr val="windowText" lastClr="000000"/>
          </a:solidFill>
        </a:defRPr>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pivotSource>
    <c:name>[修改的图.xlsx]Sheet2!数据透视表2</c:name>
    <c:fmtId val="-1"/>
  </c:pivotSource>
  <c:chart>
    <c:autoTitleDeleted val="1"/>
    <c:plotArea>
      <c:layout/>
      <c:barChart>
        <c:barDir val="col"/>
        <c:grouping val="clustered"/>
        <c:varyColors val="0"/>
        <c:ser>
          <c:idx val="0"/>
          <c:order val="0"/>
          <c:tx>
            <c:strRef>
              <c:f>[修改的图.xlsx]Sheet2!$E$350</c:f>
              <c:strCache>
                <c:ptCount val="1"/>
                <c:pt idx="0">
                  <c:v> 人数</c:v>
                </c:pt>
              </c:strCache>
            </c:strRef>
          </c:tx>
          <c:spPr>
            <a:solidFill>
              <a:schemeClr val="accent1"/>
            </a:solidFill>
            <a:ln>
              <a:noFill/>
            </a:ln>
            <a:effectLst/>
          </c:spPr>
          <c:invertIfNegative val="0"/>
          <c:dLbls>
            <c:delete val="1"/>
          </c:dLbls>
          <c:cat>
            <c:strRef>
              <c:f>[修改的图.xlsx]Sheet2!$D$351:$D$363</c:f>
              <c:strCache>
                <c:ptCount val="12"/>
                <c:pt idx="0">
                  <c:v>其他企业</c:v>
                </c:pt>
                <c:pt idx="1">
                  <c:v>中初教育单位</c:v>
                </c:pt>
                <c:pt idx="2">
                  <c:v>其他事业单位</c:v>
                </c:pt>
                <c:pt idx="3">
                  <c:v>国有企业</c:v>
                </c:pt>
                <c:pt idx="4">
                  <c:v>机关</c:v>
                </c:pt>
                <c:pt idx="5">
                  <c:v>高等教育单位</c:v>
                </c:pt>
                <c:pt idx="6">
                  <c:v>医疗卫生单位</c:v>
                </c:pt>
                <c:pt idx="7">
                  <c:v>科研设计单位</c:v>
                </c:pt>
                <c:pt idx="8">
                  <c:v>城镇社区</c:v>
                </c:pt>
                <c:pt idx="9">
                  <c:v>农村建制村</c:v>
                </c:pt>
                <c:pt idx="10">
                  <c:v>三资企业</c:v>
                </c:pt>
                <c:pt idx="11">
                  <c:v>部队</c:v>
                </c:pt>
              </c:strCache>
            </c:strRef>
          </c:cat>
          <c:val>
            <c:numRef>
              <c:f>[修改的图.xlsx]Sheet2!$E$351:$E$363</c:f>
              <c:numCache>
                <c:formatCode>General</c:formatCode>
                <c:ptCount val="12"/>
                <c:pt idx="0">
                  <c:v>543</c:v>
                </c:pt>
                <c:pt idx="1">
                  <c:v>157</c:v>
                </c:pt>
                <c:pt idx="2">
                  <c:v>152</c:v>
                </c:pt>
                <c:pt idx="3">
                  <c:v>138</c:v>
                </c:pt>
                <c:pt idx="4">
                  <c:v>110</c:v>
                </c:pt>
                <c:pt idx="5">
                  <c:v>70</c:v>
                </c:pt>
                <c:pt idx="6">
                  <c:v>19</c:v>
                </c:pt>
                <c:pt idx="7">
                  <c:v>12</c:v>
                </c:pt>
                <c:pt idx="8">
                  <c:v>10</c:v>
                </c:pt>
                <c:pt idx="9">
                  <c:v>10</c:v>
                </c:pt>
                <c:pt idx="10">
                  <c:v>10</c:v>
                </c:pt>
                <c:pt idx="11">
                  <c:v>7</c:v>
                </c:pt>
              </c:numCache>
            </c:numRef>
          </c:val>
        </c:ser>
        <c:dLbls>
          <c:showLegendKey val="0"/>
          <c:showVal val="0"/>
          <c:showCatName val="0"/>
          <c:showSerName val="0"/>
          <c:showPercent val="0"/>
          <c:showBubbleSize val="0"/>
        </c:dLbls>
        <c:gapWidth val="219"/>
        <c:overlap val="-27"/>
        <c:axId val="254312832"/>
        <c:axId val="254314752"/>
      </c:barChart>
      <c:lineChart>
        <c:grouping val="stacked"/>
        <c:varyColors val="0"/>
        <c:ser>
          <c:idx val="1"/>
          <c:order val="1"/>
          <c:tx>
            <c:strRef>
              <c:f>[修改的图.xlsx]Sheet2!$F$350</c:f>
              <c:strCache>
                <c:ptCount val="1"/>
                <c:pt idx="0">
                  <c:v>百分比</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elete val="1"/>
          </c:dLbls>
          <c:cat>
            <c:strRef>
              <c:f>[修改的图.xlsx]Sheet2!$D$351:$D$363</c:f>
              <c:strCache>
                <c:ptCount val="12"/>
                <c:pt idx="0">
                  <c:v>其他企业</c:v>
                </c:pt>
                <c:pt idx="1">
                  <c:v>中初教育单位</c:v>
                </c:pt>
                <c:pt idx="2">
                  <c:v>其他事业单位</c:v>
                </c:pt>
                <c:pt idx="3">
                  <c:v>国有企业</c:v>
                </c:pt>
                <c:pt idx="4">
                  <c:v>机关</c:v>
                </c:pt>
                <c:pt idx="5">
                  <c:v>高等教育单位</c:v>
                </c:pt>
                <c:pt idx="6">
                  <c:v>医疗卫生单位</c:v>
                </c:pt>
                <c:pt idx="7">
                  <c:v>科研设计单位</c:v>
                </c:pt>
                <c:pt idx="8">
                  <c:v>城镇社区</c:v>
                </c:pt>
                <c:pt idx="9">
                  <c:v>农村建制村</c:v>
                </c:pt>
                <c:pt idx="10">
                  <c:v>三资企业</c:v>
                </c:pt>
                <c:pt idx="11">
                  <c:v>部队</c:v>
                </c:pt>
              </c:strCache>
            </c:strRef>
          </c:cat>
          <c:val>
            <c:numRef>
              <c:f>[修改的图.xlsx]Sheet2!$F$351:$F$363</c:f>
              <c:numCache>
                <c:formatCode>0.00%</c:formatCode>
                <c:ptCount val="12"/>
                <c:pt idx="0">
                  <c:v>0.438610662358643</c:v>
                </c:pt>
                <c:pt idx="1">
                  <c:v>0.126817447495961</c:v>
                </c:pt>
                <c:pt idx="2">
                  <c:v>0.122778675282714</c:v>
                </c:pt>
                <c:pt idx="3">
                  <c:v>0.111470113085622</c:v>
                </c:pt>
                <c:pt idx="4">
                  <c:v>0.0888529886914378</c:v>
                </c:pt>
                <c:pt idx="5">
                  <c:v>0.0565428109854604</c:v>
                </c:pt>
                <c:pt idx="6">
                  <c:v>0.0153473344103393</c:v>
                </c:pt>
                <c:pt idx="7">
                  <c:v>0.00969305331179322</c:v>
                </c:pt>
                <c:pt idx="8">
                  <c:v>0.00807754442649435</c:v>
                </c:pt>
                <c:pt idx="9">
                  <c:v>0.00807754442649435</c:v>
                </c:pt>
                <c:pt idx="10">
                  <c:v>0.00807754442649435</c:v>
                </c:pt>
                <c:pt idx="11">
                  <c:v>0.00565428109854604</c:v>
                </c:pt>
              </c:numCache>
            </c:numRef>
          </c:val>
          <c:smooth val="0"/>
        </c:ser>
        <c:dLbls>
          <c:showLegendKey val="0"/>
          <c:showVal val="0"/>
          <c:showCatName val="0"/>
          <c:showSerName val="0"/>
          <c:showPercent val="0"/>
          <c:showBubbleSize val="0"/>
        </c:dLbls>
        <c:marker val="1"/>
        <c:smooth val="0"/>
        <c:axId val="254316544"/>
        <c:axId val="254318080"/>
      </c:lineChart>
      <c:catAx>
        <c:axId val="25431283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4314752"/>
        <c:crosses val="autoZero"/>
        <c:auto val="1"/>
        <c:lblAlgn val="ctr"/>
        <c:lblOffset val="100"/>
        <c:noMultiLvlLbl val="0"/>
      </c:catAx>
      <c:valAx>
        <c:axId val="2543147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54312832"/>
        <c:crosses val="autoZero"/>
        <c:crossBetween val="between"/>
      </c:valAx>
      <c:catAx>
        <c:axId val="254316544"/>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4318080"/>
        <c:crosses val="autoZero"/>
        <c:auto val="1"/>
        <c:lblAlgn val="ctr"/>
        <c:lblOffset val="100"/>
        <c:noMultiLvlLbl val="0"/>
      </c:catAx>
      <c:valAx>
        <c:axId val="254318080"/>
        <c:scaling>
          <c:orientation val="minMax"/>
        </c:scaling>
        <c:delete val="0"/>
        <c:axPos val="r"/>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54316544"/>
        <c:crosses val="max"/>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1089458992423"/>
          <c:y val="0.0975808643653167"/>
          <c:w val="0.728664628472684"/>
          <c:h val="0.54340853492797"/>
        </c:manualLayout>
      </c:layout>
      <c:lineChart>
        <c:grouping val="standard"/>
        <c:varyColors val="0"/>
        <c:ser>
          <c:idx val="0"/>
          <c:order val="0"/>
          <c:tx>
            <c:strRef>
              <c:f>[石家庄工程职业学院数据.xlsx]Sheet9!$G$150</c:f>
              <c:strCache>
                <c:ptCount val="1"/>
                <c:pt idx="0">
                  <c:v>本科毕业生</c:v>
                </c:pt>
              </c:strCache>
            </c:strRef>
          </c:tx>
          <c:spPr>
            <a:ln w="28575" cap="rnd" cmpd="sng" algn="ctr">
              <a:solidFill>
                <a:schemeClr val="accent1"/>
              </a:solidFill>
              <a:prstDash val="solid"/>
              <a:round/>
            </a:ln>
            <a:effectLst/>
          </c:spPr>
          <c:marker>
            <c:symbol val="circle"/>
            <c:size val="5"/>
            <c:spPr>
              <a:solidFill>
                <a:schemeClr val="accent1"/>
              </a:solidFill>
              <a:ln w="9525" cap="flat" cmpd="sng" algn="ctr">
                <a:solidFill>
                  <a:schemeClr val="accent1"/>
                </a:solidFill>
                <a:prstDash val="solid"/>
                <a:round/>
              </a:ln>
              <a:effectLst/>
            </c:spPr>
          </c:marker>
          <c:dLbls>
            <c:delete val="1"/>
          </c:dLbls>
          <c:cat>
            <c:strRef>
              <c:f>[石家庄工程职业学院数据.xlsx]Sheet9!$F$151:$F$156</c:f>
              <c:strCache>
                <c:ptCount val="5"/>
                <c:pt idx="0">
                  <c:v>2500元及以下</c:v>
                </c:pt>
                <c:pt idx="1">
                  <c:v>2501——3500元</c:v>
                </c:pt>
                <c:pt idx="2">
                  <c:v>3501——4500元</c:v>
                </c:pt>
                <c:pt idx="3">
                  <c:v>4501——6000元</c:v>
                </c:pt>
                <c:pt idx="4">
                  <c:v>6001元及以上</c:v>
                </c:pt>
              </c:strCache>
            </c:strRef>
          </c:cat>
          <c:val>
            <c:numRef>
              <c:f>[石家庄工程职业学院数据.xlsx]Sheet9!$G$151:$G$156</c:f>
              <c:numCache>
                <c:formatCode>0.00%</c:formatCode>
                <c:ptCount val="5"/>
                <c:pt idx="0">
                  <c:v>0.032258064516129</c:v>
                </c:pt>
                <c:pt idx="1">
                  <c:v>0.267741935483871</c:v>
                </c:pt>
                <c:pt idx="2">
                  <c:v>0.419354838709677</c:v>
                </c:pt>
                <c:pt idx="3">
                  <c:v>0.209677419354839</c:v>
                </c:pt>
                <c:pt idx="4">
                  <c:v>0.0709677419354839</c:v>
                </c:pt>
              </c:numCache>
            </c:numRef>
          </c:val>
          <c:smooth val="0"/>
        </c:ser>
        <c:ser>
          <c:idx val="1"/>
          <c:order val="1"/>
          <c:tx>
            <c:strRef>
              <c:f>[石家庄工程职业学院数据.xlsx]Sheet9!$H$150</c:f>
              <c:strCache>
                <c:ptCount val="1"/>
                <c:pt idx="0">
                  <c:v> 专科毕业生</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elete val="1"/>
          </c:dLbls>
          <c:cat>
            <c:strRef>
              <c:f>[石家庄工程职业学院数据.xlsx]Sheet9!$F$151:$F$156</c:f>
              <c:strCache>
                <c:ptCount val="5"/>
                <c:pt idx="0">
                  <c:v>2500元及以下</c:v>
                </c:pt>
                <c:pt idx="1">
                  <c:v>2501——3500元</c:v>
                </c:pt>
                <c:pt idx="2">
                  <c:v>3501——4500元</c:v>
                </c:pt>
                <c:pt idx="3">
                  <c:v>4501——6000元</c:v>
                </c:pt>
                <c:pt idx="4">
                  <c:v>6001元及以上</c:v>
                </c:pt>
              </c:strCache>
            </c:strRef>
          </c:cat>
          <c:val>
            <c:numRef>
              <c:f>[石家庄工程职业学院数据.xlsx]Sheet9!$H$151:$H$156</c:f>
              <c:numCache>
                <c:formatCode>0.00%</c:formatCode>
                <c:ptCount val="5"/>
                <c:pt idx="0">
                  <c:v>0.0692640692640693</c:v>
                </c:pt>
                <c:pt idx="1">
                  <c:v>0.326118326118326</c:v>
                </c:pt>
                <c:pt idx="2">
                  <c:v>0.402597402597403</c:v>
                </c:pt>
                <c:pt idx="3">
                  <c:v>0.16017316017316</c:v>
                </c:pt>
                <c:pt idx="4">
                  <c:v>0.0418470418470419</c:v>
                </c:pt>
              </c:numCache>
            </c:numRef>
          </c:val>
          <c:smooth val="0"/>
        </c:ser>
        <c:dLbls>
          <c:showLegendKey val="0"/>
          <c:showVal val="0"/>
          <c:showCatName val="0"/>
          <c:showSerName val="0"/>
          <c:showPercent val="0"/>
          <c:showBubbleSize val="0"/>
        </c:dLbls>
        <c:marker val="1"/>
        <c:smooth val="0"/>
        <c:axId val="384636416"/>
        <c:axId val="393609600"/>
      </c:lineChart>
      <c:catAx>
        <c:axId val="38463641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393609600"/>
        <c:crosses val="autoZero"/>
        <c:auto val="1"/>
        <c:lblAlgn val="ctr"/>
        <c:lblOffset val="100"/>
        <c:noMultiLvlLbl val="0"/>
      </c:catAx>
      <c:valAx>
        <c:axId val="3936096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384636416"/>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ysClr val="windowText" lastClr="000000"/>
          </a:solidFill>
        </a:defRPr>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[书记.xlsx]Sheet2!$G$89</c:f>
              <c:strCache>
                <c:ptCount val="1"/>
                <c:pt idx="0">
                  <c:v>求和项:人数</c:v>
                </c:pt>
              </c:strCache>
            </c:strRef>
          </c:tx>
          <c:spPr>
            <a:solidFill>
              <a:schemeClr val="accent1"/>
            </a:solidFill>
            <a:ln>
              <a:noFill/>
            </a:ln>
            <a:effectLst/>
          </c:spPr>
          <c:invertIfNegative val="0"/>
          <c:dLbls>
            <c:delete val="1"/>
          </c:dLbls>
          <c:cat>
            <c:strRef>
              <c:f>[书记.xlsx]Sheet2!$F$90:$F$95</c:f>
              <c:strCache>
                <c:ptCount val="5"/>
                <c:pt idx="0">
                  <c:v>很相关</c:v>
                </c:pt>
                <c:pt idx="1">
                  <c:v>相关</c:v>
                </c:pt>
                <c:pt idx="2">
                  <c:v>不好说</c:v>
                </c:pt>
                <c:pt idx="3">
                  <c:v>不相关</c:v>
                </c:pt>
                <c:pt idx="4">
                  <c:v>很不相关</c:v>
                </c:pt>
              </c:strCache>
            </c:strRef>
          </c:cat>
          <c:val>
            <c:numRef>
              <c:f>[书记.xlsx]Sheet2!$G$90:$G$95</c:f>
              <c:numCache>
                <c:formatCode>General</c:formatCode>
                <c:ptCount val="5"/>
                <c:pt idx="0">
                  <c:v>284</c:v>
                </c:pt>
                <c:pt idx="1">
                  <c:v>470</c:v>
                </c:pt>
                <c:pt idx="2">
                  <c:v>248</c:v>
                </c:pt>
                <c:pt idx="3">
                  <c:v>187</c:v>
                </c:pt>
                <c:pt idx="4">
                  <c:v>49</c:v>
                </c:pt>
              </c:numCache>
            </c:numRef>
          </c:val>
        </c:ser>
        <c:dLbls>
          <c:showLegendKey val="0"/>
          <c:showVal val="0"/>
          <c:showCatName val="0"/>
          <c:showSerName val="0"/>
          <c:showPercent val="0"/>
          <c:showBubbleSize val="0"/>
        </c:dLbls>
        <c:gapWidth val="219"/>
        <c:overlap val="-27"/>
        <c:axId val="255213568"/>
        <c:axId val="255215488"/>
      </c:barChart>
      <c:lineChart>
        <c:grouping val="stacked"/>
        <c:varyColors val="0"/>
        <c:ser>
          <c:idx val="1"/>
          <c:order val="1"/>
          <c:tx>
            <c:strRef>
              <c:f>[书记.xlsx]Sheet2!$H$89</c:f>
              <c:strCache>
                <c:ptCount val="1"/>
                <c:pt idx="0">
                  <c:v>百分比</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elete val="1"/>
          </c:dLbls>
          <c:cat>
            <c:strRef>
              <c:f>[书记.xlsx]Sheet2!$F$90:$F$95</c:f>
              <c:strCache>
                <c:ptCount val="5"/>
                <c:pt idx="0">
                  <c:v>很相关</c:v>
                </c:pt>
                <c:pt idx="1">
                  <c:v>相关</c:v>
                </c:pt>
                <c:pt idx="2">
                  <c:v>不好说</c:v>
                </c:pt>
                <c:pt idx="3">
                  <c:v>不相关</c:v>
                </c:pt>
                <c:pt idx="4">
                  <c:v>很不相关</c:v>
                </c:pt>
              </c:strCache>
            </c:strRef>
          </c:cat>
          <c:val>
            <c:numRef>
              <c:f>[书记.xlsx]Sheet2!$H$90:$H$95</c:f>
              <c:numCache>
                <c:formatCode>0.00%</c:formatCode>
                <c:ptCount val="5"/>
                <c:pt idx="0">
                  <c:v>0.229402261712439</c:v>
                </c:pt>
                <c:pt idx="1">
                  <c:v>0.379644588045234</c:v>
                </c:pt>
                <c:pt idx="2">
                  <c:v>0.20032310177706</c:v>
                </c:pt>
                <c:pt idx="3">
                  <c:v>0.151050080775444</c:v>
                </c:pt>
                <c:pt idx="4">
                  <c:v>0.0395799676898223</c:v>
                </c:pt>
              </c:numCache>
            </c:numRef>
          </c:val>
          <c:smooth val="0"/>
        </c:ser>
        <c:dLbls>
          <c:showLegendKey val="0"/>
          <c:showVal val="0"/>
          <c:showCatName val="0"/>
          <c:showSerName val="0"/>
          <c:showPercent val="0"/>
          <c:showBubbleSize val="0"/>
        </c:dLbls>
        <c:marker val="1"/>
        <c:smooth val="0"/>
        <c:axId val="255217024"/>
        <c:axId val="255259776"/>
      </c:lineChart>
      <c:catAx>
        <c:axId val="25521356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55215488"/>
        <c:crosses val="autoZero"/>
        <c:auto val="1"/>
        <c:lblAlgn val="ctr"/>
        <c:lblOffset val="100"/>
        <c:noMultiLvlLbl val="0"/>
      </c:catAx>
      <c:valAx>
        <c:axId val="2552154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55213568"/>
        <c:crosses val="autoZero"/>
        <c:crossBetween val="between"/>
      </c:valAx>
      <c:catAx>
        <c:axId val="255217024"/>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255259776"/>
        <c:crosses val="autoZero"/>
        <c:auto val="1"/>
        <c:lblAlgn val="ctr"/>
        <c:lblOffset val="100"/>
        <c:noMultiLvlLbl val="0"/>
      </c:catAx>
      <c:valAx>
        <c:axId val="255259776"/>
        <c:scaling>
          <c:orientation val="minMax"/>
        </c:scaling>
        <c:delete val="0"/>
        <c:axPos val="r"/>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55217024"/>
        <c:crosses val="max"/>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ysClr val="windowText" lastClr="000000"/>
          </a:solidFill>
        </a:defRPr>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[书记.xlsx]Sheet2!$E$111</c:f>
              <c:strCache>
                <c:ptCount val="1"/>
                <c:pt idx="0">
                  <c:v>汇总</c:v>
                </c:pt>
              </c:strCache>
            </c:strRef>
          </c:tx>
          <c:explosion val="0"/>
          <c:dPt>
            <c:idx val="0"/>
            <c:bubble3D val="0"/>
            <c:spPr>
              <a:solidFill>
                <a:schemeClr val="accent1"/>
              </a:solidFill>
              <a:ln>
                <a:noFill/>
              </a:ln>
              <a:effectLst/>
            </c:spPr>
          </c:dPt>
          <c:dPt>
            <c:idx val="1"/>
            <c:bubble3D val="0"/>
            <c:spPr>
              <a:solidFill>
                <a:schemeClr val="accent1">
                  <a:lumMod val="40000"/>
                  <a:lumOff val="60000"/>
                </a:schemeClr>
              </a:solidFill>
              <a:ln>
                <a:noFill/>
              </a:ln>
              <a:effectLst/>
            </c:spPr>
          </c:dPt>
          <c:dPt>
            <c:idx val="2"/>
            <c:bubble3D val="0"/>
            <c:spPr>
              <a:solidFill>
                <a:schemeClr val="accent1">
                  <a:lumMod val="75000"/>
                </a:schemeClr>
              </a:solidFill>
              <a:ln>
                <a:noFill/>
              </a:ln>
              <a:effectLst/>
            </c:spPr>
          </c:dPt>
          <c:dLbls>
            <c:dLbl>
              <c:idx val="0"/>
              <c:layout>
                <c:manualLayout>
                  <c:x val="0.0776350398399973"/>
                  <c:y val="0.037277019062868"/>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r>
                      <a:rPr lang="zh-CN" altLang="en-US">
                        <a:solidFill>
                          <a:sysClr val="windowText" lastClr="000000"/>
                        </a:solidFill>
                      </a:rPr>
                      <a:t>低于岗位要求，</a:t>
                    </a:r>
                    <a:r>
                      <a:rPr lang="en-US" altLang="zh-CN">
                        <a:solidFill>
                          <a:sysClr val="windowText" lastClr="000000"/>
                        </a:solidFill>
                      </a:rPr>
                      <a:t>125</a:t>
                    </a:r>
                    <a:r>
                      <a:rPr lang="zh-CN" altLang="en-US">
                        <a:solidFill>
                          <a:sysClr val="windowText" lastClr="000000"/>
                        </a:solidFill>
                      </a:rPr>
                      <a:t>人，</a:t>
                    </a:r>
                    <a:r>
                      <a:rPr lang="en-US" altLang="zh-CN">
                        <a:solidFill>
                          <a:sysClr val="windowText" lastClr="000000"/>
                        </a:solidFill>
                      </a:rPr>
                      <a:t>10.10%</a:t>
                    </a:r>
                    <a:endParaRPr lang="en-US" altLang="zh-CN">
                      <a:solidFill>
                        <a:sysClr val="windowText" lastClr="000000"/>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manualLayout>
                      <c:w val="0.236666666666667"/>
                      <c:h val="0.163888888888889"/>
                    </c:manualLayout>
                  </c15:layout>
                </c:ext>
              </c:extLst>
            </c:dLbl>
            <c:dLbl>
              <c:idx val="1"/>
              <c:layout>
                <c:manualLayout>
                  <c:x val="0.025"/>
                  <c:y val="0"/>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r>
                      <a:rPr lang="zh-CN" altLang="en-US">
                        <a:solidFill>
                          <a:sysClr val="windowText" lastClr="000000"/>
                        </a:solidFill>
                      </a:rPr>
                      <a:t>恰好满足岗位要求，</a:t>
                    </a:r>
                    <a:r>
                      <a:rPr lang="en-US" altLang="zh-CN">
                        <a:solidFill>
                          <a:sysClr val="windowText" lastClr="000000"/>
                        </a:solidFill>
                      </a:rPr>
                      <a:t>334</a:t>
                    </a:r>
                    <a:r>
                      <a:rPr lang="zh-CN" altLang="en-US">
                        <a:solidFill>
                          <a:sysClr val="windowText" lastClr="000000"/>
                        </a:solidFill>
                      </a:rPr>
                      <a:t>人</a:t>
                    </a:r>
                    <a:r>
                      <a:rPr lang="en-US" altLang="zh-CN">
                        <a:solidFill>
                          <a:sysClr val="windowText" lastClr="000000"/>
                        </a:solidFill>
                      </a:rPr>
                      <a:t>26.98%</a:t>
                    </a:r>
                    <a:endParaRPr lang="en-US" altLang="zh-CN">
                      <a:solidFill>
                        <a:sysClr val="windowText" lastClr="000000"/>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manualLayout>
                      <c:w val="0.245833333333333"/>
                      <c:h val="0.171064814814815"/>
                    </c:manualLayout>
                  </c15:layout>
                </c:ext>
              </c:extLst>
            </c:dLbl>
            <c:dLbl>
              <c:idx val="2"/>
              <c:layout>
                <c:manualLayout>
                  <c:x val="0.00833333333333333"/>
                  <c:y val="-0.0583333333333333"/>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r>
                      <a:rPr lang="zh-CN" altLang="en-US">
                        <a:solidFill>
                          <a:sysClr val="windowText" lastClr="000000"/>
                        </a:solidFill>
                      </a:rPr>
                      <a:t>高于岗位要求，</a:t>
                    </a:r>
                    <a:r>
                      <a:rPr lang="en-US" altLang="zh-CN">
                        <a:solidFill>
                          <a:sysClr val="windowText" lastClr="000000"/>
                        </a:solidFill>
                      </a:rPr>
                      <a:t>779</a:t>
                    </a:r>
                    <a:r>
                      <a:rPr lang="zh-CN" altLang="en-US">
                        <a:solidFill>
                          <a:sysClr val="windowText" lastClr="000000"/>
                        </a:solidFill>
                      </a:rPr>
                      <a:t>人，</a:t>
                    </a:r>
                    <a:r>
                      <a:rPr lang="en-US" altLang="zh-CN">
                        <a:solidFill>
                          <a:sysClr val="windowText" lastClr="000000"/>
                        </a:solidFill>
                      </a:rPr>
                      <a:t>62.92%</a:t>
                    </a:r>
                    <a:endParaRPr lang="en-US" altLang="zh-CN">
                      <a:solidFill>
                        <a:sysClr val="windowText" lastClr="000000"/>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manualLayout>
                      <c:w val="0.297117851214728"/>
                      <c:h val="0.174162390582554"/>
                    </c:manualLayout>
                  </c15:layout>
                </c:ext>
              </c:extLst>
            </c:dLbl>
            <c:spPr>
              <a:solidFill>
                <a:schemeClr val="accent1">
                  <a:lumMod val="20000"/>
                  <a:lumOff val="80000"/>
                </a:schemeClr>
              </a:solidFill>
              <a:ln>
                <a:solidFill>
                  <a:sysClr val="windowText" lastClr="000000"/>
                </a:solid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[书记.xlsx]Sheet2!$D$112:$D$115</c:f>
              <c:strCache>
                <c:ptCount val="3"/>
                <c:pt idx="0">
                  <c:v>低于岗位要求</c:v>
                </c:pt>
                <c:pt idx="1">
                  <c:v>高于岗位要求</c:v>
                </c:pt>
                <c:pt idx="2">
                  <c:v>恰好满足岗位要求</c:v>
                </c:pt>
              </c:strCache>
            </c:strRef>
          </c:cat>
          <c:val>
            <c:numRef>
              <c:f>[书记.xlsx]Sheet2!$E$112:$E$115</c:f>
              <c:numCache>
                <c:formatCode>0.00%</c:formatCode>
                <c:ptCount val="3"/>
                <c:pt idx="0">
                  <c:v>0.100969305331179</c:v>
                </c:pt>
                <c:pt idx="1">
                  <c:v>0.269789983844911</c:v>
                </c:pt>
                <c:pt idx="2">
                  <c:v>0.62924071082391</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ysClr val="windowText" lastClr="000000"/>
          </a:solidFill>
        </a:defRPr>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4812420463222"/>
          <c:y val="0.0777304964539007"/>
          <c:w val="0.549267498091117"/>
          <c:h val="0.620765957446809"/>
        </c:manualLayout>
      </c:layout>
      <c:barChart>
        <c:barDir val="col"/>
        <c:grouping val="clustered"/>
        <c:varyColors val="0"/>
        <c:ser>
          <c:idx val="0"/>
          <c:order val="0"/>
          <c:tx>
            <c:strRef>
              <c:f>[书记.xlsx]Sheet2!$F$175</c:f>
              <c:strCache>
                <c:ptCount val="1"/>
                <c:pt idx="0">
                  <c:v> 人数</c:v>
                </c:pt>
              </c:strCache>
            </c:strRef>
          </c:tx>
          <c:spPr>
            <a:solidFill>
              <a:schemeClr val="accent1"/>
            </a:solidFill>
            <a:ln>
              <a:noFill/>
            </a:ln>
            <a:effectLst/>
          </c:spPr>
          <c:invertIfNegative val="0"/>
          <c:dLbls>
            <c:delete val="1"/>
          </c:dLbls>
          <c:cat>
            <c:strRef>
              <c:f>[书记.xlsx]Sheet2!$E$176:$E$181</c:f>
              <c:strCache>
                <c:ptCount val="5"/>
                <c:pt idx="0">
                  <c:v>很大</c:v>
                </c:pt>
                <c:pt idx="1">
                  <c:v>大</c:v>
                </c:pt>
                <c:pt idx="2">
                  <c:v>不好说</c:v>
                </c:pt>
                <c:pt idx="3">
                  <c:v>小</c:v>
                </c:pt>
                <c:pt idx="4">
                  <c:v>很小</c:v>
                </c:pt>
              </c:strCache>
            </c:strRef>
          </c:cat>
          <c:val>
            <c:numRef>
              <c:f>[书记.xlsx]Sheet2!$F$176:$F$181</c:f>
              <c:numCache>
                <c:formatCode>General</c:formatCode>
                <c:ptCount val="5"/>
                <c:pt idx="0">
                  <c:v>259</c:v>
                </c:pt>
                <c:pt idx="1">
                  <c:v>273</c:v>
                </c:pt>
                <c:pt idx="2">
                  <c:v>620</c:v>
                </c:pt>
                <c:pt idx="3">
                  <c:v>55</c:v>
                </c:pt>
                <c:pt idx="4">
                  <c:v>31</c:v>
                </c:pt>
              </c:numCache>
            </c:numRef>
          </c:val>
        </c:ser>
        <c:dLbls>
          <c:showLegendKey val="0"/>
          <c:showVal val="0"/>
          <c:showCatName val="0"/>
          <c:showSerName val="0"/>
          <c:showPercent val="0"/>
          <c:showBubbleSize val="0"/>
        </c:dLbls>
        <c:gapWidth val="219"/>
        <c:overlap val="-27"/>
        <c:axId val="255482496"/>
        <c:axId val="255562496"/>
      </c:barChart>
      <c:lineChart>
        <c:grouping val="stacked"/>
        <c:varyColors val="0"/>
        <c:ser>
          <c:idx val="1"/>
          <c:order val="1"/>
          <c:tx>
            <c:strRef>
              <c:f>[书记.xlsx]Sheet2!$G$175</c:f>
              <c:strCache>
                <c:ptCount val="1"/>
                <c:pt idx="0">
                  <c:v>百分比</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elete val="1"/>
          </c:dLbls>
          <c:cat>
            <c:strRef>
              <c:f>[书记.xlsx]Sheet2!$E$176:$E$181</c:f>
              <c:strCache>
                <c:ptCount val="5"/>
                <c:pt idx="0">
                  <c:v>很大</c:v>
                </c:pt>
                <c:pt idx="1">
                  <c:v>大</c:v>
                </c:pt>
                <c:pt idx="2">
                  <c:v>不好说</c:v>
                </c:pt>
                <c:pt idx="3">
                  <c:v>小</c:v>
                </c:pt>
                <c:pt idx="4">
                  <c:v>很小</c:v>
                </c:pt>
              </c:strCache>
            </c:strRef>
          </c:cat>
          <c:val>
            <c:numRef>
              <c:f>[书记.xlsx]Sheet2!$G$176:$G$181</c:f>
              <c:numCache>
                <c:formatCode>0.00%</c:formatCode>
                <c:ptCount val="5"/>
                <c:pt idx="0">
                  <c:v>0.209208400646204</c:v>
                </c:pt>
                <c:pt idx="1">
                  <c:v>0.220516962843296</c:v>
                </c:pt>
                <c:pt idx="2">
                  <c:v>0.500807754442649</c:v>
                </c:pt>
                <c:pt idx="3">
                  <c:v>0.0444264943457189</c:v>
                </c:pt>
                <c:pt idx="4">
                  <c:v>0.0250403877221325</c:v>
                </c:pt>
              </c:numCache>
            </c:numRef>
          </c:val>
          <c:smooth val="0"/>
        </c:ser>
        <c:dLbls>
          <c:showLegendKey val="0"/>
          <c:showVal val="0"/>
          <c:showCatName val="0"/>
          <c:showSerName val="0"/>
          <c:showPercent val="0"/>
          <c:showBubbleSize val="0"/>
        </c:dLbls>
        <c:marker val="1"/>
        <c:smooth val="0"/>
        <c:axId val="255564032"/>
        <c:axId val="255569920"/>
      </c:lineChart>
      <c:catAx>
        <c:axId val="25548249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55562496"/>
        <c:crosses val="autoZero"/>
        <c:auto val="1"/>
        <c:lblAlgn val="ctr"/>
        <c:lblOffset val="100"/>
        <c:noMultiLvlLbl val="0"/>
      </c:catAx>
      <c:valAx>
        <c:axId val="2555624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55482496"/>
        <c:crosses val="autoZero"/>
        <c:crossBetween val="between"/>
      </c:valAx>
      <c:catAx>
        <c:axId val="255564032"/>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255569920"/>
        <c:crosses val="autoZero"/>
        <c:auto val="1"/>
        <c:lblAlgn val="ctr"/>
        <c:lblOffset val="100"/>
        <c:noMultiLvlLbl val="0"/>
      </c:catAx>
      <c:valAx>
        <c:axId val="255569920"/>
        <c:scaling>
          <c:orientation val="minMax"/>
        </c:scaling>
        <c:delete val="0"/>
        <c:axPos val="r"/>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55564032"/>
        <c:crosses val="max"/>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dTable>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ysClr val="windowText" lastClr="000000"/>
          </a:solidFill>
        </a:defRPr>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[书记.xlsx]Sheet2!$G$211</c:f>
              <c:strCache>
                <c:ptCount val="1"/>
                <c:pt idx="0">
                  <c:v> 人数</c:v>
                </c:pt>
              </c:strCache>
            </c:strRef>
          </c:tx>
          <c:spPr>
            <a:solidFill>
              <a:schemeClr val="accent1"/>
            </a:solidFill>
            <a:ln>
              <a:noFill/>
            </a:ln>
            <a:effectLst/>
          </c:spPr>
          <c:invertIfNegative val="0"/>
          <c:dLbls>
            <c:delete val="1"/>
          </c:dLbls>
          <c:cat>
            <c:strRef>
              <c:f>[书记.xlsx]Sheet2!$F$212:$F$217</c:f>
              <c:strCache>
                <c:ptCount val="5"/>
                <c:pt idx="0">
                  <c:v>很清晰</c:v>
                </c:pt>
                <c:pt idx="1">
                  <c:v>清晰</c:v>
                </c:pt>
                <c:pt idx="2">
                  <c:v>不好说</c:v>
                </c:pt>
                <c:pt idx="3">
                  <c:v>不清晰</c:v>
                </c:pt>
                <c:pt idx="4">
                  <c:v>很不清晰</c:v>
                </c:pt>
              </c:strCache>
            </c:strRef>
          </c:cat>
          <c:val>
            <c:numRef>
              <c:f>[书记.xlsx]Sheet2!$G$212:$G$217</c:f>
              <c:numCache>
                <c:formatCode>General</c:formatCode>
                <c:ptCount val="5"/>
                <c:pt idx="0">
                  <c:v>233</c:v>
                </c:pt>
                <c:pt idx="1">
                  <c:v>435</c:v>
                </c:pt>
                <c:pt idx="2">
                  <c:v>482</c:v>
                </c:pt>
                <c:pt idx="3">
                  <c:v>63</c:v>
                </c:pt>
                <c:pt idx="4">
                  <c:v>25</c:v>
                </c:pt>
              </c:numCache>
            </c:numRef>
          </c:val>
        </c:ser>
        <c:dLbls>
          <c:showLegendKey val="0"/>
          <c:showVal val="0"/>
          <c:showCatName val="0"/>
          <c:showSerName val="0"/>
          <c:showPercent val="0"/>
          <c:showBubbleSize val="0"/>
        </c:dLbls>
        <c:gapWidth val="219"/>
        <c:overlap val="-27"/>
        <c:axId val="255643008"/>
        <c:axId val="255653376"/>
      </c:barChart>
      <c:lineChart>
        <c:grouping val="stacked"/>
        <c:varyColors val="0"/>
        <c:ser>
          <c:idx val="1"/>
          <c:order val="1"/>
          <c:tx>
            <c:strRef>
              <c:f>[书记.xlsx]Sheet2!$H$211</c:f>
              <c:strCache>
                <c:ptCount val="1"/>
                <c:pt idx="0">
                  <c:v>百分比</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elete val="1"/>
          </c:dLbls>
          <c:cat>
            <c:strRef>
              <c:f>[书记.xlsx]Sheet2!$F$212:$F$217</c:f>
              <c:strCache>
                <c:ptCount val="5"/>
                <c:pt idx="0">
                  <c:v>很清晰</c:v>
                </c:pt>
                <c:pt idx="1">
                  <c:v>清晰</c:v>
                </c:pt>
                <c:pt idx="2">
                  <c:v>不好说</c:v>
                </c:pt>
                <c:pt idx="3">
                  <c:v>不清晰</c:v>
                </c:pt>
                <c:pt idx="4">
                  <c:v>很不清晰</c:v>
                </c:pt>
              </c:strCache>
            </c:strRef>
          </c:cat>
          <c:val>
            <c:numRef>
              <c:f>[书记.xlsx]Sheet2!$H$212:$H$217</c:f>
              <c:numCache>
                <c:formatCode>0.00%</c:formatCode>
                <c:ptCount val="5"/>
                <c:pt idx="0">
                  <c:v>0.188206785137318</c:v>
                </c:pt>
                <c:pt idx="1">
                  <c:v>0.351373182552504</c:v>
                </c:pt>
                <c:pt idx="2">
                  <c:v>0.389337641357028</c:v>
                </c:pt>
                <c:pt idx="3">
                  <c:v>0.0508885298869144</c:v>
                </c:pt>
                <c:pt idx="4">
                  <c:v>0.0201938610662359</c:v>
                </c:pt>
              </c:numCache>
            </c:numRef>
          </c:val>
          <c:smooth val="0"/>
        </c:ser>
        <c:dLbls>
          <c:showLegendKey val="0"/>
          <c:showVal val="0"/>
          <c:showCatName val="0"/>
          <c:showSerName val="0"/>
          <c:showPercent val="0"/>
          <c:showBubbleSize val="0"/>
        </c:dLbls>
        <c:marker val="1"/>
        <c:smooth val="0"/>
        <c:axId val="255654912"/>
        <c:axId val="255857408"/>
      </c:lineChart>
      <c:catAx>
        <c:axId val="25564300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55653376"/>
        <c:crosses val="autoZero"/>
        <c:auto val="1"/>
        <c:lblAlgn val="ctr"/>
        <c:lblOffset val="100"/>
        <c:noMultiLvlLbl val="0"/>
      </c:catAx>
      <c:valAx>
        <c:axId val="255653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55643008"/>
        <c:crosses val="autoZero"/>
        <c:crossBetween val="between"/>
      </c:valAx>
      <c:catAx>
        <c:axId val="255654912"/>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255857408"/>
        <c:crosses val="autoZero"/>
        <c:auto val="1"/>
        <c:lblAlgn val="ctr"/>
        <c:lblOffset val="100"/>
        <c:noMultiLvlLbl val="0"/>
      </c:catAx>
      <c:valAx>
        <c:axId val="255857408"/>
        <c:scaling>
          <c:orientation val="minMax"/>
        </c:scaling>
        <c:delete val="0"/>
        <c:axPos val="r"/>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55654912"/>
        <c:crosses val="max"/>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dTable>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ysClr val="windowText" lastClr="000000"/>
          </a:solidFill>
        </a:defRPr>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006578947368"/>
          <c:y val="0.177546296296296"/>
          <c:w val="0.537300438596491"/>
          <c:h val="0.607453703703704"/>
        </c:manualLayout>
      </c:layout>
      <c:barChart>
        <c:barDir val="col"/>
        <c:grouping val="clustered"/>
        <c:varyColors val="0"/>
        <c:ser>
          <c:idx val="0"/>
          <c:order val="0"/>
          <c:tx>
            <c:strRef>
              <c:f>[书记.xlsx]Sheet2!$F$287</c:f>
              <c:strCache>
                <c:ptCount val="1"/>
                <c:pt idx="0">
                  <c:v> 人数</c:v>
                </c:pt>
              </c:strCache>
            </c:strRef>
          </c:tx>
          <c:spPr>
            <a:solidFill>
              <a:schemeClr val="accent1"/>
            </a:solidFill>
            <a:ln>
              <a:noFill/>
            </a:ln>
            <a:effectLst/>
          </c:spPr>
          <c:invertIfNegative val="0"/>
          <c:dLbls>
            <c:delete val="1"/>
          </c:dLbls>
          <c:cat>
            <c:strRef>
              <c:f>[书记.xlsx]Sheet2!$E$288:$E$292</c:f>
              <c:strCache>
                <c:ptCount val="4"/>
                <c:pt idx="0">
                  <c:v>1～3年</c:v>
                </c:pt>
                <c:pt idx="1">
                  <c:v>1年以内</c:v>
                </c:pt>
                <c:pt idx="2">
                  <c:v>3～5年</c:v>
                </c:pt>
                <c:pt idx="3">
                  <c:v>5年及以上</c:v>
                </c:pt>
              </c:strCache>
            </c:strRef>
          </c:cat>
          <c:val>
            <c:numRef>
              <c:f>[书记.xlsx]Sheet2!$F$288:$F$292</c:f>
              <c:numCache>
                <c:formatCode>General</c:formatCode>
                <c:ptCount val="4"/>
                <c:pt idx="0">
                  <c:v>594</c:v>
                </c:pt>
                <c:pt idx="1">
                  <c:v>482</c:v>
                </c:pt>
                <c:pt idx="2">
                  <c:v>100</c:v>
                </c:pt>
                <c:pt idx="3">
                  <c:v>62</c:v>
                </c:pt>
              </c:numCache>
            </c:numRef>
          </c:val>
        </c:ser>
        <c:dLbls>
          <c:showLegendKey val="0"/>
          <c:showVal val="0"/>
          <c:showCatName val="0"/>
          <c:showSerName val="0"/>
          <c:showPercent val="0"/>
          <c:showBubbleSize val="0"/>
        </c:dLbls>
        <c:gapWidth val="219"/>
        <c:overlap val="-27"/>
        <c:axId val="255873408"/>
        <c:axId val="255875328"/>
      </c:barChart>
      <c:lineChart>
        <c:grouping val="stacked"/>
        <c:varyColors val="0"/>
        <c:ser>
          <c:idx val="1"/>
          <c:order val="1"/>
          <c:tx>
            <c:strRef>
              <c:f>[书记.xlsx]Sheet2!$G$287</c:f>
              <c:strCache>
                <c:ptCount val="1"/>
                <c:pt idx="0">
                  <c:v>百分比</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elete val="1"/>
          </c:dLbls>
          <c:cat>
            <c:strRef>
              <c:f>[书记.xlsx]Sheet2!$E$288:$E$292</c:f>
              <c:strCache>
                <c:ptCount val="4"/>
                <c:pt idx="0">
                  <c:v>1～3年</c:v>
                </c:pt>
                <c:pt idx="1">
                  <c:v>1年以内</c:v>
                </c:pt>
                <c:pt idx="2">
                  <c:v>3～5年</c:v>
                </c:pt>
                <c:pt idx="3">
                  <c:v>5年及以上</c:v>
                </c:pt>
              </c:strCache>
            </c:strRef>
          </c:cat>
          <c:val>
            <c:numRef>
              <c:f>[书记.xlsx]Sheet2!$G$288:$G$292</c:f>
              <c:numCache>
                <c:formatCode>0.00%</c:formatCode>
                <c:ptCount val="4"/>
                <c:pt idx="0">
                  <c:v>0.479806138933764</c:v>
                </c:pt>
                <c:pt idx="1">
                  <c:v>0.389337641357028</c:v>
                </c:pt>
                <c:pt idx="2">
                  <c:v>0.0807754442649435</c:v>
                </c:pt>
                <c:pt idx="3">
                  <c:v>0.0500807754442649</c:v>
                </c:pt>
              </c:numCache>
            </c:numRef>
          </c:val>
          <c:smooth val="0"/>
        </c:ser>
        <c:dLbls>
          <c:showLegendKey val="0"/>
          <c:showVal val="0"/>
          <c:showCatName val="0"/>
          <c:showSerName val="0"/>
          <c:showPercent val="0"/>
          <c:showBubbleSize val="0"/>
        </c:dLbls>
        <c:marker val="1"/>
        <c:smooth val="0"/>
        <c:axId val="255901696"/>
        <c:axId val="255903232"/>
      </c:lineChart>
      <c:catAx>
        <c:axId val="25587340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55875328"/>
        <c:crosses val="autoZero"/>
        <c:auto val="1"/>
        <c:lblAlgn val="ctr"/>
        <c:lblOffset val="100"/>
        <c:noMultiLvlLbl val="0"/>
      </c:catAx>
      <c:valAx>
        <c:axId val="2558753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55873408"/>
        <c:crosses val="autoZero"/>
        <c:crossBetween val="between"/>
      </c:valAx>
      <c:catAx>
        <c:axId val="255901696"/>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255903232"/>
        <c:crosses val="autoZero"/>
        <c:auto val="1"/>
        <c:lblAlgn val="ctr"/>
        <c:lblOffset val="100"/>
        <c:noMultiLvlLbl val="0"/>
      </c:catAx>
      <c:valAx>
        <c:axId val="255903232"/>
        <c:scaling>
          <c:orientation val="minMax"/>
        </c:scaling>
        <c:delete val="0"/>
        <c:axPos val="r"/>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55901696"/>
        <c:crosses val="max"/>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dTable>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ysClr val="windowText" lastClr="000000"/>
          </a:solidFill>
        </a:defRPr>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72249589491"/>
          <c:y val="0.125462962962963"/>
          <c:w val="0.546680897646415"/>
          <c:h val="0.623888888888889"/>
        </c:manualLayout>
      </c:layout>
      <c:barChart>
        <c:barDir val="col"/>
        <c:grouping val="clustered"/>
        <c:varyColors val="0"/>
        <c:ser>
          <c:idx val="0"/>
          <c:order val="0"/>
          <c:tx>
            <c:strRef>
              <c:f>[书记.xlsx]Sheet2!$G$307</c:f>
              <c:strCache>
                <c:ptCount val="1"/>
                <c:pt idx="0">
                  <c:v> 人数</c:v>
                </c:pt>
              </c:strCache>
            </c:strRef>
          </c:tx>
          <c:spPr>
            <a:solidFill>
              <a:schemeClr val="accent1"/>
            </a:solidFill>
            <a:ln>
              <a:noFill/>
            </a:ln>
            <a:effectLst/>
          </c:spPr>
          <c:invertIfNegative val="0"/>
          <c:dLbls>
            <c:delete val="1"/>
          </c:dLbls>
          <c:cat>
            <c:strRef>
              <c:f>[书记.xlsx]Sheet2!$F$308:$F$313</c:f>
              <c:strCache>
                <c:ptCount val="5"/>
                <c:pt idx="0">
                  <c:v>很相符</c:v>
                </c:pt>
                <c:pt idx="1">
                  <c:v>相符</c:v>
                </c:pt>
                <c:pt idx="2">
                  <c:v>不好说</c:v>
                </c:pt>
                <c:pt idx="3">
                  <c:v>不相符</c:v>
                </c:pt>
                <c:pt idx="4">
                  <c:v>很不相符</c:v>
                </c:pt>
              </c:strCache>
            </c:strRef>
          </c:cat>
          <c:val>
            <c:numRef>
              <c:f>[书记.xlsx]Sheet2!$G$308:$G$313</c:f>
              <c:numCache>
                <c:formatCode>General</c:formatCode>
                <c:ptCount val="5"/>
                <c:pt idx="0">
                  <c:v>186</c:v>
                </c:pt>
                <c:pt idx="1">
                  <c:v>623</c:v>
                </c:pt>
                <c:pt idx="2">
                  <c:v>311</c:v>
                </c:pt>
                <c:pt idx="3">
                  <c:v>81</c:v>
                </c:pt>
                <c:pt idx="4">
                  <c:v>37</c:v>
                </c:pt>
              </c:numCache>
            </c:numRef>
          </c:val>
        </c:ser>
        <c:dLbls>
          <c:showLegendKey val="0"/>
          <c:showVal val="0"/>
          <c:showCatName val="0"/>
          <c:showSerName val="0"/>
          <c:showPercent val="0"/>
          <c:showBubbleSize val="0"/>
        </c:dLbls>
        <c:gapWidth val="219"/>
        <c:overlap val="-27"/>
        <c:axId val="256103552"/>
        <c:axId val="256105472"/>
      </c:barChart>
      <c:lineChart>
        <c:grouping val="stacked"/>
        <c:varyColors val="0"/>
        <c:ser>
          <c:idx val="1"/>
          <c:order val="1"/>
          <c:tx>
            <c:strRef>
              <c:f>[书记.xlsx]Sheet2!$H$307</c:f>
              <c:strCache>
                <c:ptCount val="1"/>
                <c:pt idx="0">
                  <c:v>百分比</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elete val="1"/>
          </c:dLbls>
          <c:cat>
            <c:strRef>
              <c:f>[书记.xlsx]Sheet2!$F$308:$F$313</c:f>
              <c:strCache>
                <c:ptCount val="5"/>
                <c:pt idx="0">
                  <c:v>很相符</c:v>
                </c:pt>
                <c:pt idx="1">
                  <c:v>相符</c:v>
                </c:pt>
                <c:pt idx="2">
                  <c:v>不好说</c:v>
                </c:pt>
                <c:pt idx="3">
                  <c:v>不相符</c:v>
                </c:pt>
                <c:pt idx="4">
                  <c:v>很不相符</c:v>
                </c:pt>
              </c:strCache>
            </c:strRef>
          </c:cat>
          <c:val>
            <c:numRef>
              <c:f>[书记.xlsx]Sheet2!$H$308:$H$313</c:f>
              <c:numCache>
                <c:formatCode>0.00%</c:formatCode>
                <c:ptCount val="5"/>
                <c:pt idx="0">
                  <c:v>0.150242326332795</c:v>
                </c:pt>
                <c:pt idx="1">
                  <c:v>0.503231017770598</c:v>
                </c:pt>
                <c:pt idx="2">
                  <c:v>0.251211631663974</c:v>
                </c:pt>
                <c:pt idx="3">
                  <c:v>0.0654281098546042</c:v>
                </c:pt>
                <c:pt idx="4">
                  <c:v>0.0298869143780291</c:v>
                </c:pt>
              </c:numCache>
            </c:numRef>
          </c:val>
          <c:smooth val="0"/>
        </c:ser>
        <c:dLbls>
          <c:showLegendKey val="0"/>
          <c:showVal val="0"/>
          <c:showCatName val="0"/>
          <c:showSerName val="0"/>
          <c:showPercent val="0"/>
          <c:showBubbleSize val="0"/>
        </c:dLbls>
        <c:marker val="1"/>
        <c:smooth val="0"/>
        <c:axId val="256111360"/>
        <c:axId val="256112896"/>
      </c:lineChart>
      <c:catAx>
        <c:axId val="25610355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56105472"/>
        <c:crosses val="autoZero"/>
        <c:auto val="1"/>
        <c:lblAlgn val="ctr"/>
        <c:lblOffset val="100"/>
        <c:noMultiLvlLbl val="0"/>
      </c:catAx>
      <c:valAx>
        <c:axId val="2561054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56103552"/>
        <c:crosses val="autoZero"/>
        <c:crossBetween val="between"/>
      </c:valAx>
      <c:catAx>
        <c:axId val="256111360"/>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256112896"/>
        <c:crosses val="autoZero"/>
        <c:auto val="1"/>
        <c:lblAlgn val="ctr"/>
        <c:lblOffset val="100"/>
        <c:noMultiLvlLbl val="0"/>
      </c:catAx>
      <c:valAx>
        <c:axId val="256112896"/>
        <c:scaling>
          <c:orientation val="minMax"/>
        </c:scaling>
        <c:delete val="0"/>
        <c:axPos val="r"/>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56111360"/>
        <c:crosses val="max"/>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dTable>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ysClr val="windowText" lastClr="000000"/>
          </a:solidFill>
        </a:defRPr>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865028029323"/>
          <c:y val="0.120250335270451"/>
          <c:w val="0.574293229840448"/>
          <c:h val="0.656057219490389"/>
        </c:manualLayout>
      </c:layout>
      <c:barChart>
        <c:barDir val="col"/>
        <c:grouping val="clustered"/>
        <c:varyColors val="0"/>
        <c:ser>
          <c:idx val="0"/>
          <c:order val="0"/>
          <c:tx>
            <c:strRef>
              <c:f>[书记.xlsx]Sheet2!$H$243</c:f>
              <c:strCache>
                <c:ptCount val="1"/>
                <c:pt idx="0">
                  <c:v> 人数</c:v>
                </c:pt>
              </c:strCache>
            </c:strRef>
          </c:tx>
          <c:spPr>
            <a:solidFill>
              <a:schemeClr val="accent1"/>
            </a:solidFill>
            <a:ln>
              <a:noFill/>
            </a:ln>
            <a:effectLst/>
          </c:spPr>
          <c:invertIfNegative val="0"/>
          <c:dLbls>
            <c:delete val="1"/>
          </c:dLbls>
          <c:cat>
            <c:strRef>
              <c:f>[书记.xlsx]Sheet2!$G$244:$G$249</c:f>
              <c:strCache>
                <c:ptCount val="5"/>
                <c:pt idx="0">
                  <c:v>很满意</c:v>
                </c:pt>
                <c:pt idx="1">
                  <c:v>满意</c:v>
                </c:pt>
                <c:pt idx="2">
                  <c:v>不好说</c:v>
                </c:pt>
                <c:pt idx="3">
                  <c:v>不满意</c:v>
                </c:pt>
                <c:pt idx="4">
                  <c:v>很不满意</c:v>
                </c:pt>
              </c:strCache>
            </c:strRef>
          </c:cat>
          <c:val>
            <c:numRef>
              <c:f>[书记.xlsx]Sheet2!$H$244:$H$249</c:f>
              <c:numCache>
                <c:formatCode>General</c:formatCode>
                <c:ptCount val="5"/>
                <c:pt idx="0">
                  <c:v>217</c:v>
                </c:pt>
                <c:pt idx="1">
                  <c:v>488</c:v>
                </c:pt>
                <c:pt idx="2">
                  <c:v>408</c:v>
                </c:pt>
                <c:pt idx="3">
                  <c:v>100</c:v>
                </c:pt>
                <c:pt idx="4">
                  <c:v>25</c:v>
                </c:pt>
              </c:numCache>
            </c:numRef>
          </c:val>
        </c:ser>
        <c:dLbls>
          <c:showLegendKey val="0"/>
          <c:showVal val="0"/>
          <c:showCatName val="0"/>
          <c:showSerName val="0"/>
          <c:showPercent val="0"/>
          <c:showBubbleSize val="0"/>
        </c:dLbls>
        <c:gapWidth val="219"/>
        <c:overlap val="-27"/>
        <c:axId val="256718720"/>
        <c:axId val="256761856"/>
      </c:barChart>
      <c:lineChart>
        <c:grouping val="stacked"/>
        <c:varyColors val="0"/>
        <c:ser>
          <c:idx val="1"/>
          <c:order val="1"/>
          <c:tx>
            <c:strRef>
              <c:f>[书记.xlsx]Sheet2!$I$243</c:f>
              <c:strCache>
                <c:ptCount val="1"/>
                <c:pt idx="0">
                  <c:v>百分比</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elete val="1"/>
          </c:dLbls>
          <c:cat>
            <c:strRef>
              <c:f>[书记.xlsx]Sheet2!$G$244:$G$249</c:f>
              <c:strCache>
                <c:ptCount val="5"/>
                <c:pt idx="0">
                  <c:v>很满意</c:v>
                </c:pt>
                <c:pt idx="1">
                  <c:v>满意</c:v>
                </c:pt>
                <c:pt idx="2">
                  <c:v>不好说</c:v>
                </c:pt>
                <c:pt idx="3">
                  <c:v>不满意</c:v>
                </c:pt>
                <c:pt idx="4">
                  <c:v>很不满意</c:v>
                </c:pt>
              </c:strCache>
            </c:strRef>
          </c:cat>
          <c:val>
            <c:numRef>
              <c:f>[书记.xlsx]Sheet2!$I$244:$I$249</c:f>
              <c:numCache>
                <c:formatCode>0.00%</c:formatCode>
                <c:ptCount val="5"/>
                <c:pt idx="0">
                  <c:v>0.175282714054927</c:v>
                </c:pt>
                <c:pt idx="1">
                  <c:v>0.394184168012924</c:v>
                </c:pt>
                <c:pt idx="2">
                  <c:v>0.329563812600969</c:v>
                </c:pt>
                <c:pt idx="3">
                  <c:v>0.0807754442649435</c:v>
                </c:pt>
                <c:pt idx="4">
                  <c:v>0.0201938610662359</c:v>
                </c:pt>
              </c:numCache>
            </c:numRef>
          </c:val>
          <c:smooth val="0"/>
        </c:ser>
        <c:dLbls>
          <c:showLegendKey val="0"/>
          <c:showVal val="0"/>
          <c:showCatName val="0"/>
          <c:showSerName val="0"/>
          <c:showPercent val="0"/>
          <c:showBubbleSize val="0"/>
        </c:dLbls>
        <c:marker val="1"/>
        <c:smooth val="0"/>
        <c:axId val="256763392"/>
        <c:axId val="256764928"/>
      </c:lineChart>
      <c:catAx>
        <c:axId val="25671872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56761856"/>
        <c:crosses val="autoZero"/>
        <c:auto val="1"/>
        <c:lblAlgn val="ctr"/>
        <c:lblOffset val="100"/>
        <c:noMultiLvlLbl val="0"/>
      </c:catAx>
      <c:valAx>
        <c:axId val="2567618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56718720"/>
        <c:crosses val="autoZero"/>
        <c:crossBetween val="between"/>
      </c:valAx>
      <c:catAx>
        <c:axId val="256763392"/>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256764928"/>
        <c:crosses val="autoZero"/>
        <c:auto val="1"/>
        <c:lblAlgn val="ctr"/>
        <c:lblOffset val="100"/>
        <c:noMultiLvlLbl val="0"/>
      </c:catAx>
      <c:valAx>
        <c:axId val="256764928"/>
        <c:scaling>
          <c:orientation val="minMax"/>
        </c:scaling>
        <c:delete val="0"/>
        <c:axPos val="r"/>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56763392"/>
        <c:crosses val="max"/>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dTable>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manualLayout>
          <c:xMode val="edge"/>
          <c:yMode val="edge"/>
          <c:x val="0.862979732643381"/>
          <c:y val="0.43406347787215"/>
          <c:w val="0.133786114704614"/>
          <c:h val="0.13142601698703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ysClr val="windowText" lastClr="000000"/>
          </a:solidFill>
        </a:defRPr>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[书记.xlsx]Sheet3!$G$5</c:f>
              <c:strCache>
                <c:ptCount val="1"/>
                <c:pt idx="0">
                  <c:v>汇总</c:v>
                </c:pt>
              </c:strCache>
            </c:strRef>
          </c:tx>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Pt>
            <c:idx val="5"/>
            <c:bubble3D val="0"/>
            <c:spPr>
              <a:solidFill>
                <a:schemeClr val="accent6"/>
              </a:solidFill>
              <a:ln>
                <a:noFill/>
              </a:ln>
              <a:effectLst/>
            </c:spPr>
          </c:dPt>
          <c:dLbls>
            <c:dLbl>
              <c:idx val="0"/>
              <c:layout>
                <c:manualLayout>
                  <c:x val="-0.0608078273392593"/>
                  <c:y val="0.0231913472859861"/>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r>
                      <a:rPr lang="zh-CN" altLang="en-US">
                        <a:solidFill>
                          <a:sysClr val="windowText" lastClr="000000"/>
                        </a:solidFill>
                      </a:rPr>
                      <a:t>个人理想就是想成为创业者，</a:t>
                    </a:r>
                    <a:r>
                      <a:rPr lang="en-US" altLang="zh-CN">
                        <a:solidFill>
                          <a:sysClr val="windowText" lastClr="000000"/>
                        </a:solidFill>
                      </a:rPr>
                      <a:t>16</a:t>
                    </a:r>
                    <a:r>
                      <a:rPr lang="zh-CN" altLang="en-US">
                        <a:solidFill>
                          <a:sysClr val="windowText" lastClr="000000"/>
                        </a:solidFill>
                      </a:rPr>
                      <a:t>人</a:t>
                    </a:r>
                    <a:endParaRPr lang="zh-CN" altLang="en-US">
                      <a:solidFill>
                        <a:sysClr val="windowText" lastClr="000000"/>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70817437017041"/>
                  <c:y val="-0.0101988458082582"/>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r>
                      <a:rPr lang="zh-CN" altLang="en-US">
                        <a:solidFill>
                          <a:sysClr val="windowText" lastClr="000000"/>
                        </a:solidFill>
                      </a:rPr>
                      <a:t>没有找到合适工作，</a:t>
                    </a:r>
                    <a:r>
                      <a:rPr lang="en-US" altLang="zh-CN">
                        <a:solidFill>
                          <a:sysClr val="windowText" lastClr="000000"/>
                        </a:solidFill>
                      </a:rPr>
                      <a:t>3</a:t>
                    </a:r>
                    <a:r>
                      <a:rPr lang="zh-CN" altLang="en-US">
                        <a:solidFill>
                          <a:sysClr val="windowText" lastClr="000000"/>
                        </a:solidFill>
                      </a:rPr>
                      <a:t>人</a:t>
                    </a:r>
                    <a:endParaRPr lang="zh-CN" altLang="en-US">
                      <a:solidFill>
                        <a:sysClr val="windowText" lastClr="000000"/>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manualLayout>
                      <c:w val="0.274599542334096"/>
                      <c:h val="0.0886298658456125"/>
                    </c:manualLayout>
                  </c15:layout>
                </c:ext>
              </c:extLst>
            </c:dLbl>
            <c:dLbl>
              <c:idx val="2"/>
              <c:layout>
                <c:manualLayout>
                  <c:x val="0.0137560476087961"/>
                  <c:y val="-0.0231699888628979"/>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r>
                      <a:rPr lang="zh-CN" altLang="en-US">
                        <a:solidFill>
                          <a:sysClr val="windowText" lastClr="000000"/>
                        </a:solidFill>
                      </a:rPr>
                      <a:t>期待有较高收入，</a:t>
                    </a:r>
                    <a:r>
                      <a:rPr lang="en-US" altLang="zh-CN">
                        <a:solidFill>
                          <a:sysClr val="windowText" lastClr="000000"/>
                        </a:solidFill>
                      </a:rPr>
                      <a:t>7</a:t>
                    </a:r>
                    <a:r>
                      <a:rPr lang="zh-CN" altLang="en-US">
                        <a:solidFill>
                          <a:sysClr val="windowText" lastClr="000000"/>
                        </a:solidFill>
                      </a:rPr>
                      <a:t>人</a:t>
                    </a:r>
                    <a:endParaRPr lang="zh-CN" altLang="en-US">
                      <a:solidFill>
                        <a:sysClr val="windowText" lastClr="000000"/>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9078932404615"/>
                  <c:y val="-0.0129315348386583"/>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r>
                      <a:rPr lang="zh-CN" altLang="en-US">
                        <a:solidFill>
                          <a:sysClr val="windowText" lastClr="000000"/>
                        </a:solidFill>
                      </a:rPr>
                      <a:t>其他原因，</a:t>
                    </a:r>
                    <a:r>
                      <a:rPr lang="en-US" altLang="zh-CN">
                        <a:solidFill>
                          <a:sysClr val="windowText" lastClr="000000"/>
                        </a:solidFill>
                      </a:rPr>
                      <a:t>3</a:t>
                    </a:r>
                    <a:r>
                      <a:rPr lang="zh-CN" altLang="en-US">
                        <a:solidFill>
                          <a:sysClr val="windowText" lastClr="000000"/>
                        </a:solidFill>
                      </a:rPr>
                      <a:t>人</a:t>
                    </a:r>
                    <a:endParaRPr lang="zh-CN" altLang="en-US">
                      <a:solidFill>
                        <a:sysClr val="windowText" lastClr="000000"/>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663738941330958"/>
                  <c:y val="-0.0265590011596883"/>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r>
                      <a:rPr lang="zh-CN" altLang="en-US">
                        <a:solidFill>
                          <a:sysClr val="windowText" lastClr="000000"/>
                        </a:solidFill>
                      </a:rPr>
                      <a:t>受他人邀请合伙创业，</a:t>
                    </a:r>
                    <a:r>
                      <a:rPr lang="en-US" altLang="zh-CN">
                        <a:solidFill>
                          <a:sysClr val="windowText" lastClr="000000"/>
                        </a:solidFill>
                      </a:rPr>
                      <a:t>7</a:t>
                    </a:r>
                    <a:r>
                      <a:rPr lang="zh-CN" altLang="en-US">
                        <a:solidFill>
                          <a:sysClr val="windowText" lastClr="000000"/>
                        </a:solidFill>
                      </a:rPr>
                      <a:t>人</a:t>
                    </a:r>
                    <a:endParaRPr lang="zh-CN" altLang="en-US">
                      <a:solidFill>
                        <a:sysClr val="windowText" lastClr="000000"/>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101024560588684"/>
                  <c:y val="-0.0670256340743071"/>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r>
                      <a:rPr lang="zh-CN" altLang="en-US">
                        <a:solidFill>
                          <a:sysClr val="windowText" lastClr="000000"/>
                        </a:solidFill>
                      </a:rPr>
                      <a:t>有好的创业点子想实现，</a:t>
                    </a:r>
                    <a:r>
                      <a:rPr lang="en-US" altLang="zh-CN">
                        <a:solidFill>
                          <a:sysClr val="windowText" lastClr="000000"/>
                        </a:solidFill>
                      </a:rPr>
                      <a:t>25</a:t>
                    </a:r>
                    <a:r>
                      <a:rPr lang="zh-CN" altLang="en-US">
                        <a:solidFill>
                          <a:sysClr val="windowText" lastClr="000000"/>
                        </a:solidFill>
                      </a:rPr>
                      <a:t>人</a:t>
                    </a:r>
                    <a:endParaRPr lang="zh-CN" altLang="en-US">
                      <a:solidFill>
                        <a:sysClr val="windowText" lastClr="000000"/>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solidFill>
                <a:schemeClr val="bg2"/>
              </a:solidFill>
              <a:ln>
                <a:solidFill>
                  <a:sysClr val="windowText" lastClr="000000"/>
                </a:solid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[书记.xlsx]Sheet3!$F$6:$F$12</c:f>
              <c:strCache>
                <c:ptCount val="6"/>
                <c:pt idx="0">
                  <c:v>个人理想就是想成为创业者</c:v>
                </c:pt>
                <c:pt idx="1">
                  <c:v>没有找到合适工作</c:v>
                </c:pt>
                <c:pt idx="2">
                  <c:v>期待有较高收入</c:v>
                </c:pt>
                <c:pt idx="3">
                  <c:v>其他原因</c:v>
                </c:pt>
                <c:pt idx="4">
                  <c:v>受他人邀请合伙创业</c:v>
                </c:pt>
                <c:pt idx="5">
                  <c:v>有好的创业点子想实现</c:v>
                </c:pt>
              </c:strCache>
            </c:strRef>
          </c:cat>
          <c:val>
            <c:numRef>
              <c:f>[书记.xlsx]Sheet3!$G$6:$G$12</c:f>
              <c:numCache>
                <c:formatCode>General</c:formatCode>
                <c:ptCount val="6"/>
                <c:pt idx="0">
                  <c:v>16</c:v>
                </c:pt>
                <c:pt idx="1">
                  <c:v>3</c:v>
                </c:pt>
                <c:pt idx="2">
                  <c:v>7</c:v>
                </c:pt>
                <c:pt idx="3">
                  <c:v>3</c:v>
                </c:pt>
                <c:pt idx="4">
                  <c:v>7</c:v>
                </c:pt>
                <c:pt idx="5">
                  <c:v>25</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ysClr val="windowText" lastClr="000000"/>
          </a:solidFill>
        </a:defRPr>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[书记.xlsx]Sheet3!$G$60</c:f>
              <c:strCache>
                <c:ptCount val="1"/>
                <c:pt idx="0">
                  <c:v> 人数</c:v>
                </c:pt>
              </c:strCache>
            </c:strRef>
          </c:tx>
          <c:spPr>
            <a:solidFill>
              <a:schemeClr val="accent1"/>
            </a:solidFill>
            <a:ln>
              <a:noFill/>
            </a:ln>
            <a:effectLst/>
          </c:spPr>
          <c:invertIfNegative val="0"/>
          <c:dLbls>
            <c:delete val="1"/>
          </c:dLbls>
          <c:cat>
            <c:strRef>
              <c:f>[书记.xlsx]Sheet3!$F$61:$F$65</c:f>
              <c:strCache>
                <c:ptCount val="4"/>
                <c:pt idx="0">
                  <c:v>河北</c:v>
                </c:pt>
                <c:pt idx="1">
                  <c:v>东部地区</c:v>
                </c:pt>
                <c:pt idx="2">
                  <c:v>中部地区</c:v>
                </c:pt>
                <c:pt idx="3">
                  <c:v>西部地区</c:v>
                </c:pt>
              </c:strCache>
            </c:strRef>
          </c:cat>
          <c:val>
            <c:numRef>
              <c:f>[书记.xlsx]Sheet3!$G$61:$G$65</c:f>
              <c:numCache>
                <c:formatCode>General</c:formatCode>
                <c:ptCount val="4"/>
                <c:pt idx="0">
                  <c:v>41</c:v>
                </c:pt>
                <c:pt idx="1">
                  <c:v>9</c:v>
                </c:pt>
                <c:pt idx="2">
                  <c:v>7</c:v>
                </c:pt>
                <c:pt idx="3">
                  <c:v>4</c:v>
                </c:pt>
              </c:numCache>
            </c:numRef>
          </c:val>
        </c:ser>
        <c:dLbls>
          <c:showLegendKey val="0"/>
          <c:showVal val="0"/>
          <c:showCatName val="0"/>
          <c:showSerName val="0"/>
          <c:showPercent val="0"/>
          <c:showBubbleSize val="0"/>
        </c:dLbls>
        <c:gapWidth val="219"/>
        <c:overlap val="-27"/>
        <c:axId val="256846848"/>
        <c:axId val="256853120"/>
      </c:barChart>
      <c:lineChart>
        <c:grouping val="stacked"/>
        <c:varyColors val="0"/>
        <c:ser>
          <c:idx val="1"/>
          <c:order val="1"/>
          <c:tx>
            <c:strRef>
              <c:f>[书记.xlsx]Sheet3!$H$60</c:f>
              <c:strCache>
                <c:ptCount val="1"/>
                <c:pt idx="0">
                  <c:v>百分比</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elete val="1"/>
          </c:dLbls>
          <c:cat>
            <c:strRef>
              <c:f>[书记.xlsx]Sheet3!$F$61:$F$65</c:f>
              <c:strCache>
                <c:ptCount val="4"/>
                <c:pt idx="0">
                  <c:v>河北</c:v>
                </c:pt>
                <c:pt idx="1">
                  <c:v>东部地区</c:v>
                </c:pt>
                <c:pt idx="2">
                  <c:v>中部地区</c:v>
                </c:pt>
                <c:pt idx="3">
                  <c:v>西部地区</c:v>
                </c:pt>
              </c:strCache>
            </c:strRef>
          </c:cat>
          <c:val>
            <c:numRef>
              <c:f>[书记.xlsx]Sheet3!$H$61:$H$65</c:f>
              <c:numCache>
                <c:formatCode>0.00%</c:formatCode>
                <c:ptCount val="4"/>
                <c:pt idx="0">
                  <c:v>0.672131147540984</c:v>
                </c:pt>
                <c:pt idx="1">
                  <c:v>0.147540983606557</c:v>
                </c:pt>
                <c:pt idx="2">
                  <c:v>0.114754098360656</c:v>
                </c:pt>
                <c:pt idx="3">
                  <c:v>0.0655737704918033</c:v>
                </c:pt>
              </c:numCache>
            </c:numRef>
          </c:val>
          <c:smooth val="0"/>
        </c:ser>
        <c:dLbls>
          <c:showLegendKey val="0"/>
          <c:showVal val="0"/>
          <c:showCatName val="0"/>
          <c:showSerName val="0"/>
          <c:showPercent val="0"/>
          <c:showBubbleSize val="0"/>
        </c:dLbls>
        <c:marker val="1"/>
        <c:smooth val="0"/>
        <c:axId val="256854656"/>
        <c:axId val="256909696"/>
      </c:lineChart>
      <c:catAx>
        <c:axId val="25684684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56853120"/>
        <c:crosses val="autoZero"/>
        <c:auto val="1"/>
        <c:lblAlgn val="ctr"/>
        <c:lblOffset val="100"/>
        <c:noMultiLvlLbl val="0"/>
      </c:catAx>
      <c:valAx>
        <c:axId val="2568531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56846848"/>
        <c:crosses val="autoZero"/>
        <c:crossBetween val="between"/>
      </c:valAx>
      <c:catAx>
        <c:axId val="256854656"/>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256909696"/>
        <c:crosses val="autoZero"/>
        <c:auto val="1"/>
        <c:lblAlgn val="ctr"/>
        <c:lblOffset val="100"/>
        <c:noMultiLvlLbl val="0"/>
      </c:catAx>
      <c:valAx>
        <c:axId val="256909696"/>
        <c:scaling>
          <c:orientation val="minMax"/>
        </c:scaling>
        <c:delete val="0"/>
        <c:axPos val="r"/>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56854656"/>
        <c:crosses val="max"/>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ysClr val="windowText" lastClr="000000"/>
          </a:solidFill>
        </a:defRPr>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390125847047"/>
          <c:y val="0.0681536555142503"/>
          <c:w val="0.589683446272991"/>
          <c:h val="0.37180916976456"/>
        </c:manualLayout>
      </c:layout>
      <c:barChart>
        <c:barDir val="col"/>
        <c:grouping val="clustered"/>
        <c:varyColors val="0"/>
        <c:ser>
          <c:idx val="0"/>
          <c:order val="0"/>
          <c:tx>
            <c:strRef>
              <c:f>[书记.xlsx]Sheet3!$E$114</c:f>
              <c:strCache>
                <c:ptCount val="1"/>
                <c:pt idx="0">
                  <c:v>  人数</c:v>
                </c:pt>
              </c:strCache>
            </c:strRef>
          </c:tx>
          <c:spPr>
            <a:solidFill>
              <a:schemeClr val="accent1"/>
            </a:solidFill>
            <a:ln>
              <a:noFill/>
            </a:ln>
            <a:effectLst/>
          </c:spPr>
          <c:invertIfNegative val="0"/>
          <c:dLbls>
            <c:delete val="1"/>
          </c:dLbls>
          <c:cat>
            <c:strRef>
              <c:f>[书记.xlsx]Sheet3!$D$115:$D$124</c:f>
              <c:strCache>
                <c:ptCount val="9"/>
                <c:pt idx="0">
                  <c:v>电力，热力燃气及水生产和供应业</c:v>
                </c:pt>
                <c:pt idx="1">
                  <c:v>房地产业</c:v>
                </c:pt>
                <c:pt idx="2">
                  <c:v>教育</c:v>
                </c:pt>
                <c:pt idx="3">
                  <c:v>农，林，牧，渔</c:v>
                </c:pt>
                <c:pt idx="4">
                  <c:v>批发和零售业</c:v>
                </c:pt>
                <c:pt idx="5">
                  <c:v>其他</c:v>
                </c:pt>
                <c:pt idx="6">
                  <c:v>文化，体育和娱乐业</c:v>
                </c:pt>
                <c:pt idx="7">
                  <c:v>住宿和餐饮业</c:v>
                </c:pt>
                <c:pt idx="8">
                  <c:v>租贷和商务服务业</c:v>
                </c:pt>
              </c:strCache>
            </c:strRef>
          </c:cat>
          <c:val>
            <c:numRef>
              <c:f>[书记.xlsx]Sheet3!$E$115:$E$124</c:f>
              <c:numCache>
                <c:formatCode>General</c:formatCode>
                <c:ptCount val="9"/>
                <c:pt idx="0">
                  <c:v>2</c:v>
                </c:pt>
                <c:pt idx="1">
                  <c:v>2</c:v>
                </c:pt>
                <c:pt idx="2">
                  <c:v>19</c:v>
                </c:pt>
                <c:pt idx="3">
                  <c:v>2</c:v>
                </c:pt>
                <c:pt idx="4">
                  <c:v>15</c:v>
                </c:pt>
                <c:pt idx="5">
                  <c:v>12</c:v>
                </c:pt>
                <c:pt idx="6">
                  <c:v>4</c:v>
                </c:pt>
                <c:pt idx="7">
                  <c:v>3</c:v>
                </c:pt>
                <c:pt idx="8">
                  <c:v>2</c:v>
                </c:pt>
              </c:numCache>
            </c:numRef>
          </c:val>
        </c:ser>
        <c:dLbls>
          <c:showLegendKey val="0"/>
          <c:showVal val="0"/>
          <c:showCatName val="0"/>
          <c:showSerName val="0"/>
          <c:showPercent val="0"/>
          <c:showBubbleSize val="0"/>
        </c:dLbls>
        <c:gapWidth val="219"/>
        <c:overlap val="-27"/>
        <c:axId val="257010304"/>
        <c:axId val="257012480"/>
      </c:barChart>
      <c:lineChart>
        <c:grouping val="stacked"/>
        <c:varyColors val="0"/>
        <c:ser>
          <c:idx val="1"/>
          <c:order val="1"/>
          <c:tx>
            <c:strRef>
              <c:f>[书记.xlsx]Sheet3!$F$114</c:f>
              <c:strCache>
                <c:ptCount val="1"/>
                <c:pt idx="0">
                  <c:v>百分比</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elete val="1"/>
          </c:dLbls>
          <c:cat>
            <c:strRef>
              <c:f>[书记.xlsx]Sheet3!$D$115:$D$124</c:f>
              <c:strCache>
                <c:ptCount val="9"/>
                <c:pt idx="0">
                  <c:v>电力，热力燃气及水生产和供应业</c:v>
                </c:pt>
                <c:pt idx="1">
                  <c:v>房地产业</c:v>
                </c:pt>
                <c:pt idx="2">
                  <c:v>教育</c:v>
                </c:pt>
                <c:pt idx="3">
                  <c:v>农，林，牧，渔</c:v>
                </c:pt>
                <c:pt idx="4">
                  <c:v>批发和零售业</c:v>
                </c:pt>
                <c:pt idx="5">
                  <c:v>其他</c:v>
                </c:pt>
                <c:pt idx="6">
                  <c:v>文化，体育和娱乐业</c:v>
                </c:pt>
                <c:pt idx="7">
                  <c:v>住宿和餐饮业</c:v>
                </c:pt>
                <c:pt idx="8">
                  <c:v>租贷和商务服务业</c:v>
                </c:pt>
              </c:strCache>
            </c:strRef>
          </c:cat>
          <c:val>
            <c:numRef>
              <c:f>[书记.xlsx]Sheet3!$F$115:$F$124</c:f>
              <c:numCache>
                <c:formatCode>0.00%</c:formatCode>
                <c:ptCount val="9"/>
                <c:pt idx="0">
                  <c:v>0.0327868852459016</c:v>
                </c:pt>
                <c:pt idx="1">
                  <c:v>0.0327868852459016</c:v>
                </c:pt>
                <c:pt idx="2">
                  <c:v>0.311475409836066</c:v>
                </c:pt>
                <c:pt idx="3">
                  <c:v>0.0327868852459016</c:v>
                </c:pt>
                <c:pt idx="4">
                  <c:v>0.245901639344262</c:v>
                </c:pt>
                <c:pt idx="5">
                  <c:v>0.19672131147541</c:v>
                </c:pt>
                <c:pt idx="6">
                  <c:v>0.0655737704918033</c:v>
                </c:pt>
                <c:pt idx="7">
                  <c:v>0.0491803278688525</c:v>
                </c:pt>
                <c:pt idx="8">
                  <c:v>0.0327868852459016</c:v>
                </c:pt>
              </c:numCache>
            </c:numRef>
          </c:val>
          <c:smooth val="0"/>
        </c:ser>
        <c:dLbls>
          <c:showLegendKey val="0"/>
          <c:showVal val="0"/>
          <c:showCatName val="0"/>
          <c:showSerName val="0"/>
          <c:showPercent val="0"/>
          <c:showBubbleSize val="0"/>
        </c:dLbls>
        <c:marker val="1"/>
        <c:smooth val="0"/>
        <c:axId val="257014016"/>
        <c:axId val="345714688"/>
      </c:lineChart>
      <c:catAx>
        <c:axId val="25701030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57012480"/>
        <c:crosses val="autoZero"/>
        <c:auto val="1"/>
        <c:lblAlgn val="ctr"/>
        <c:lblOffset val="100"/>
        <c:noMultiLvlLbl val="0"/>
      </c:catAx>
      <c:valAx>
        <c:axId val="2570124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57010304"/>
        <c:crosses val="autoZero"/>
        <c:crossBetween val="between"/>
      </c:valAx>
      <c:catAx>
        <c:axId val="257014016"/>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345714688"/>
        <c:crosses val="autoZero"/>
        <c:auto val="1"/>
        <c:lblAlgn val="ctr"/>
        <c:lblOffset val="100"/>
        <c:noMultiLvlLbl val="0"/>
      </c:catAx>
      <c:valAx>
        <c:axId val="345714688"/>
        <c:scaling>
          <c:orientation val="minMax"/>
        </c:scaling>
        <c:delete val="0"/>
        <c:axPos val="r"/>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57014016"/>
        <c:crosses val="max"/>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dTable>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ysClr val="windowText" lastClr="000000"/>
          </a:solidFill>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本科生平均月薪</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2015届</c:v>
                </c:pt>
                <c:pt idx="1">
                  <c:v>2016届</c:v>
                </c:pt>
                <c:pt idx="2">
                  <c:v>2017届</c:v>
                </c:pt>
              </c:strCache>
            </c:strRef>
          </c:cat>
          <c:val>
            <c:numRef>
              <c:f>Sheet1!$B$2:$B$4</c:f>
              <c:numCache>
                <c:formatCode>General</c:formatCode>
                <c:ptCount val="3"/>
                <c:pt idx="0">
                  <c:v>2879.96</c:v>
                </c:pt>
                <c:pt idx="1">
                  <c:v>3904.08</c:v>
                </c:pt>
                <c:pt idx="2">
                  <c:v>4821.56</c:v>
                </c:pt>
              </c:numCache>
            </c:numRef>
          </c:val>
        </c:ser>
        <c:ser>
          <c:idx val="1"/>
          <c:order val="1"/>
          <c:tx>
            <c:strRef>
              <c:f>Sheet1!$C$1</c:f>
              <c:strCache>
                <c:ptCount val="1"/>
                <c:pt idx="0">
                  <c:v>专科生平均月薪</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2015届</c:v>
                </c:pt>
                <c:pt idx="1">
                  <c:v>2016届</c:v>
                </c:pt>
                <c:pt idx="2">
                  <c:v>2017届</c:v>
                </c:pt>
              </c:strCache>
            </c:strRef>
          </c:cat>
          <c:val>
            <c:numRef>
              <c:f>Sheet1!$C$2:$C$4</c:f>
              <c:numCache>
                <c:formatCode>General</c:formatCode>
                <c:ptCount val="3"/>
                <c:pt idx="0">
                  <c:v>2712.63</c:v>
                </c:pt>
                <c:pt idx="1">
                  <c:v>3529.64</c:v>
                </c:pt>
                <c:pt idx="2">
                  <c:v>4057.35</c:v>
                </c:pt>
              </c:numCache>
            </c:numRef>
          </c:val>
        </c:ser>
        <c:dLbls>
          <c:showLegendKey val="0"/>
          <c:showVal val="1"/>
          <c:showCatName val="0"/>
          <c:showSerName val="0"/>
          <c:showPercent val="0"/>
          <c:showBubbleSize val="0"/>
        </c:dLbls>
        <c:gapWidth val="219"/>
        <c:overlap val="-27"/>
        <c:axId val="946811794"/>
        <c:axId val="607817051"/>
      </c:barChart>
      <c:catAx>
        <c:axId val="94681179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607817051"/>
        <c:crosses val="autoZero"/>
        <c:auto val="1"/>
        <c:lblAlgn val="ctr"/>
        <c:lblOffset val="100"/>
        <c:noMultiLvlLbl val="0"/>
      </c:catAx>
      <c:valAx>
        <c:axId val="6078170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94681179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ysClr val="windowText" lastClr="000000"/>
          </a:solidFill>
        </a:defRPr>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[书记.xlsx]Sheet3!$E$166</c:f>
              <c:strCache>
                <c:ptCount val="1"/>
                <c:pt idx="0">
                  <c:v> 人数</c:v>
                </c:pt>
              </c:strCache>
            </c:strRef>
          </c:tx>
          <c:spPr>
            <a:solidFill>
              <a:schemeClr val="accent1"/>
            </a:solidFill>
            <a:ln>
              <a:noFill/>
            </a:ln>
            <a:effectLst/>
          </c:spPr>
          <c:invertIfNegative val="0"/>
          <c:dLbls>
            <c:delete val="1"/>
          </c:dLbls>
          <c:cat>
            <c:strRef>
              <c:f>[书记.xlsx]Sheet3!$D$167:$D$172</c:f>
              <c:strCache>
                <c:ptCount val="5"/>
                <c:pt idx="0">
                  <c:v>很相关</c:v>
                </c:pt>
                <c:pt idx="1">
                  <c:v>相关</c:v>
                </c:pt>
                <c:pt idx="2">
                  <c:v>不好说</c:v>
                </c:pt>
                <c:pt idx="3">
                  <c:v>不相关</c:v>
                </c:pt>
                <c:pt idx="4">
                  <c:v>很不相关</c:v>
                </c:pt>
              </c:strCache>
            </c:strRef>
          </c:cat>
          <c:val>
            <c:numRef>
              <c:f>[书记.xlsx]Sheet3!$E$167:$E$172</c:f>
              <c:numCache>
                <c:formatCode>General</c:formatCode>
                <c:ptCount val="5"/>
                <c:pt idx="0">
                  <c:v>7</c:v>
                </c:pt>
                <c:pt idx="1">
                  <c:v>18</c:v>
                </c:pt>
                <c:pt idx="2">
                  <c:v>16</c:v>
                </c:pt>
                <c:pt idx="3">
                  <c:v>13</c:v>
                </c:pt>
                <c:pt idx="4">
                  <c:v>7</c:v>
                </c:pt>
              </c:numCache>
            </c:numRef>
          </c:val>
        </c:ser>
        <c:dLbls>
          <c:showLegendKey val="0"/>
          <c:showVal val="0"/>
          <c:showCatName val="0"/>
          <c:showSerName val="0"/>
          <c:showPercent val="0"/>
          <c:showBubbleSize val="0"/>
        </c:dLbls>
        <c:gapWidth val="219"/>
        <c:overlap val="-27"/>
        <c:axId val="345828736"/>
        <c:axId val="364123648"/>
      </c:barChart>
      <c:lineChart>
        <c:grouping val="stacked"/>
        <c:varyColors val="0"/>
        <c:ser>
          <c:idx val="1"/>
          <c:order val="1"/>
          <c:tx>
            <c:strRef>
              <c:f>[书记.xlsx]Sheet3!$F$166</c:f>
              <c:strCache>
                <c:ptCount val="1"/>
                <c:pt idx="0">
                  <c:v>百分比</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elete val="1"/>
          </c:dLbls>
          <c:cat>
            <c:strRef>
              <c:f>[书记.xlsx]Sheet3!$D$167:$D$172</c:f>
              <c:strCache>
                <c:ptCount val="5"/>
                <c:pt idx="0">
                  <c:v>很相关</c:v>
                </c:pt>
                <c:pt idx="1">
                  <c:v>相关</c:v>
                </c:pt>
                <c:pt idx="2">
                  <c:v>不好说</c:v>
                </c:pt>
                <c:pt idx="3">
                  <c:v>不相关</c:v>
                </c:pt>
                <c:pt idx="4">
                  <c:v>很不相关</c:v>
                </c:pt>
              </c:strCache>
            </c:strRef>
          </c:cat>
          <c:val>
            <c:numRef>
              <c:f>[书记.xlsx]Sheet3!$F$167:$F$172</c:f>
              <c:numCache>
                <c:formatCode>0.00%</c:formatCode>
                <c:ptCount val="5"/>
                <c:pt idx="0">
                  <c:v>0.114754098360656</c:v>
                </c:pt>
                <c:pt idx="1">
                  <c:v>0.295081967213115</c:v>
                </c:pt>
                <c:pt idx="2">
                  <c:v>0.262295081967213</c:v>
                </c:pt>
                <c:pt idx="3">
                  <c:v>0.213114754098361</c:v>
                </c:pt>
                <c:pt idx="4">
                  <c:v>0.114754098360656</c:v>
                </c:pt>
              </c:numCache>
            </c:numRef>
          </c:val>
          <c:smooth val="0"/>
        </c:ser>
        <c:dLbls>
          <c:showLegendKey val="0"/>
          <c:showVal val="0"/>
          <c:showCatName val="0"/>
          <c:showSerName val="0"/>
          <c:showPercent val="0"/>
          <c:showBubbleSize val="0"/>
        </c:dLbls>
        <c:marker val="1"/>
        <c:smooth val="0"/>
        <c:axId val="364125184"/>
        <c:axId val="365060864"/>
      </c:lineChart>
      <c:catAx>
        <c:axId val="34582873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364123648"/>
        <c:crosses val="autoZero"/>
        <c:auto val="1"/>
        <c:lblAlgn val="ctr"/>
        <c:lblOffset val="100"/>
        <c:noMultiLvlLbl val="0"/>
      </c:catAx>
      <c:valAx>
        <c:axId val="3641236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345828736"/>
        <c:crosses val="autoZero"/>
        <c:crossBetween val="between"/>
      </c:valAx>
      <c:catAx>
        <c:axId val="364125184"/>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365060864"/>
        <c:crosses val="autoZero"/>
        <c:auto val="1"/>
        <c:lblAlgn val="ctr"/>
        <c:lblOffset val="100"/>
        <c:noMultiLvlLbl val="0"/>
      </c:catAx>
      <c:valAx>
        <c:axId val="365060864"/>
        <c:scaling>
          <c:orientation val="minMax"/>
        </c:scaling>
        <c:delete val="0"/>
        <c:axPos val="r"/>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364125184"/>
        <c:crosses val="max"/>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dTable>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ysClr val="windowText" lastClr="000000"/>
          </a:solidFill>
        </a:defRPr>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34652295880703"/>
          <c:y val="0.07256687535572"/>
          <c:w val="0.752399232245681"/>
          <c:h val="0.738759248719408"/>
        </c:manualLayout>
      </c:layout>
      <c:barChart>
        <c:barDir val="col"/>
        <c:grouping val="clustered"/>
        <c:varyColors val="0"/>
        <c:ser>
          <c:idx val="0"/>
          <c:order val="0"/>
          <c:tx>
            <c:strRef>
              <c:f>Sheet1!$B$1</c:f>
              <c:strCache>
                <c:ptCount val="1"/>
                <c:pt idx="0">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Sheet1!$A$2:$A$7</c:f>
              <c:strCache>
                <c:ptCount val="6"/>
                <c:pt idx="0">
                  <c:v>自筹资金</c:v>
                </c:pt>
                <c:pt idx="1">
                  <c:v>政府扶持</c:v>
                </c:pt>
                <c:pt idx="2">
                  <c:v>银行贷款</c:v>
                </c:pt>
                <c:pt idx="3">
                  <c:v>技术融资</c:v>
                </c:pt>
                <c:pt idx="4">
                  <c:v>风险投资</c:v>
                </c:pt>
                <c:pt idx="5">
                  <c:v>高校支持</c:v>
                </c:pt>
              </c:strCache>
            </c:strRef>
          </c:cat>
          <c:val>
            <c:numRef>
              <c:f>Sheet1!$B$2:$B$7</c:f>
              <c:numCache>
                <c:formatCode>0.00%</c:formatCode>
                <c:ptCount val="6"/>
                <c:pt idx="0">
                  <c:v>0.8947</c:v>
                </c:pt>
                <c:pt idx="1">
                  <c:v>0.0526</c:v>
                </c:pt>
                <c:pt idx="2">
                  <c:v>0.0526</c:v>
                </c:pt>
                <c:pt idx="3">
                  <c:v>0.0263</c:v>
                </c:pt>
                <c:pt idx="4">
                  <c:v>0.0263</c:v>
                </c:pt>
                <c:pt idx="5">
                  <c:v>0.0263</c:v>
                </c:pt>
              </c:numCache>
            </c:numRef>
          </c:val>
        </c:ser>
        <c:dLbls>
          <c:showLegendKey val="0"/>
          <c:showVal val="1"/>
          <c:showCatName val="0"/>
          <c:showSerName val="0"/>
          <c:showPercent val="0"/>
          <c:showBubbleSize val="0"/>
        </c:dLbls>
        <c:gapWidth val="80"/>
        <c:axId val="365709184"/>
        <c:axId val="365712128"/>
      </c:barChart>
      <c:catAx>
        <c:axId val="365709184"/>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65712128"/>
        <c:crosses val="autoZero"/>
        <c:auto val="1"/>
        <c:lblAlgn val="ctr"/>
        <c:lblOffset val="100"/>
        <c:tickLblSkip val="1"/>
        <c:noMultiLvlLbl val="0"/>
      </c:catAx>
      <c:valAx>
        <c:axId val="365712128"/>
        <c:scaling>
          <c:orientation val="minMax"/>
        </c:scaling>
        <c:delete val="0"/>
        <c:axPos val="l"/>
        <c:numFmt formatCode="0.0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365709184"/>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[书记.xlsx]Sheet3!$F$202</c:f>
              <c:strCache>
                <c:ptCount val="1"/>
                <c:pt idx="0">
                  <c:v>  人数</c:v>
                </c:pt>
              </c:strCache>
            </c:strRef>
          </c:tx>
          <c:spPr>
            <a:solidFill>
              <a:schemeClr val="accent1"/>
            </a:solidFill>
            <a:ln>
              <a:noFill/>
            </a:ln>
            <a:effectLst/>
          </c:spPr>
          <c:invertIfNegative val="0"/>
          <c:dLbls>
            <c:delete val="1"/>
          </c:dLbls>
          <c:cat>
            <c:strRef>
              <c:f>[书记.xlsx]Sheet3!$E$203:$E$212</c:f>
              <c:strCache>
                <c:ptCount val="9"/>
                <c:pt idx="0">
                  <c:v>撰写商业计划书</c:v>
                </c:pt>
                <c:pt idx="1">
                  <c:v>寻找资金支持</c:v>
                </c:pt>
                <c:pt idx="2">
                  <c:v>享受创业优惠政策</c:v>
                </c:pt>
                <c:pt idx="3">
                  <c:v>寻找经营场地</c:v>
                </c:pt>
                <c:pt idx="4">
                  <c:v>创业团队组建及管理</c:v>
                </c:pt>
                <c:pt idx="5">
                  <c:v>公司财务税务管理</c:v>
                </c:pt>
                <c:pt idx="6">
                  <c:v>产品与服务研发</c:v>
                </c:pt>
                <c:pt idx="7">
                  <c:v>产品与服务营销</c:v>
                </c:pt>
                <c:pt idx="8">
                  <c:v>风险控制</c:v>
                </c:pt>
              </c:strCache>
            </c:strRef>
          </c:cat>
          <c:val>
            <c:numRef>
              <c:f>[书记.xlsx]Sheet3!$F$203:$F$212</c:f>
              <c:numCache>
                <c:formatCode>General</c:formatCode>
                <c:ptCount val="9"/>
                <c:pt idx="0">
                  <c:v>8</c:v>
                </c:pt>
                <c:pt idx="1">
                  <c:v>8</c:v>
                </c:pt>
                <c:pt idx="2">
                  <c:v>4</c:v>
                </c:pt>
                <c:pt idx="3">
                  <c:v>4</c:v>
                </c:pt>
                <c:pt idx="4">
                  <c:v>14</c:v>
                </c:pt>
                <c:pt idx="5">
                  <c:v>4</c:v>
                </c:pt>
                <c:pt idx="6">
                  <c:v>1</c:v>
                </c:pt>
                <c:pt idx="7">
                  <c:v>1</c:v>
                </c:pt>
                <c:pt idx="8">
                  <c:v>17</c:v>
                </c:pt>
              </c:numCache>
            </c:numRef>
          </c:val>
        </c:ser>
        <c:dLbls>
          <c:showLegendKey val="0"/>
          <c:showVal val="0"/>
          <c:showCatName val="0"/>
          <c:showSerName val="0"/>
          <c:showPercent val="0"/>
          <c:showBubbleSize val="0"/>
        </c:dLbls>
        <c:gapWidth val="219"/>
        <c:overlap val="-27"/>
        <c:axId val="365884928"/>
        <c:axId val="365886848"/>
      </c:barChart>
      <c:lineChart>
        <c:grouping val="stacked"/>
        <c:varyColors val="0"/>
        <c:ser>
          <c:idx val="1"/>
          <c:order val="1"/>
          <c:tx>
            <c:strRef>
              <c:f>[书记.xlsx]Sheet3!$G$202</c:f>
              <c:strCache>
                <c:ptCount val="1"/>
                <c:pt idx="0">
                  <c:v>百分比</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elete val="1"/>
          </c:dLbls>
          <c:cat>
            <c:strRef>
              <c:f>[书记.xlsx]Sheet3!$E$203:$E$212</c:f>
              <c:strCache>
                <c:ptCount val="9"/>
                <c:pt idx="0">
                  <c:v>撰写商业计划书</c:v>
                </c:pt>
                <c:pt idx="1">
                  <c:v>寻找资金支持</c:v>
                </c:pt>
                <c:pt idx="2">
                  <c:v>享受创业优惠政策</c:v>
                </c:pt>
                <c:pt idx="3">
                  <c:v>寻找经营场地</c:v>
                </c:pt>
                <c:pt idx="4">
                  <c:v>创业团队组建及管理</c:v>
                </c:pt>
                <c:pt idx="5">
                  <c:v>公司财务税务管理</c:v>
                </c:pt>
                <c:pt idx="6">
                  <c:v>产品与服务研发</c:v>
                </c:pt>
                <c:pt idx="7">
                  <c:v>产品与服务营销</c:v>
                </c:pt>
                <c:pt idx="8">
                  <c:v>风险控制</c:v>
                </c:pt>
              </c:strCache>
            </c:strRef>
          </c:cat>
          <c:val>
            <c:numRef>
              <c:f>[书记.xlsx]Sheet3!$G$203:$G$212</c:f>
              <c:numCache>
                <c:formatCode>0.00%</c:formatCode>
                <c:ptCount val="9"/>
                <c:pt idx="0">
                  <c:v>0.131147540983607</c:v>
                </c:pt>
                <c:pt idx="1">
                  <c:v>0.131147540983607</c:v>
                </c:pt>
                <c:pt idx="2">
                  <c:v>0.0655737704918033</c:v>
                </c:pt>
                <c:pt idx="3">
                  <c:v>0.0655737704918033</c:v>
                </c:pt>
                <c:pt idx="4">
                  <c:v>0.229508196721311</c:v>
                </c:pt>
                <c:pt idx="5">
                  <c:v>0.0655737704918033</c:v>
                </c:pt>
                <c:pt idx="6">
                  <c:v>0.0163934426229508</c:v>
                </c:pt>
                <c:pt idx="7">
                  <c:v>0.0163934426229508</c:v>
                </c:pt>
                <c:pt idx="8">
                  <c:v>0.278688524590164</c:v>
                </c:pt>
              </c:numCache>
            </c:numRef>
          </c:val>
          <c:smooth val="0"/>
        </c:ser>
        <c:dLbls>
          <c:showLegendKey val="0"/>
          <c:showVal val="0"/>
          <c:showCatName val="0"/>
          <c:showSerName val="0"/>
          <c:showPercent val="0"/>
          <c:showBubbleSize val="0"/>
        </c:dLbls>
        <c:marker val="1"/>
        <c:smooth val="0"/>
        <c:axId val="365962368"/>
        <c:axId val="365963904"/>
      </c:lineChart>
      <c:catAx>
        <c:axId val="36588492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365886848"/>
        <c:crosses val="autoZero"/>
        <c:auto val="1"/>
        <c:lblAlgn val="ctr"/>
        <c:lblOffset val="100"/>
        <c:noMultiLvlLbl val="0"/>
      </c:catAx>
      <c:valAx>
        <c:axId val="365886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365884928"/>
        <c:crosses val="autoZero"/>
        <c:crossBetween val="between"/>
      </c:valAx>
      <c:catAx>
        <c:axId val="365962368"/>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365963904"/>
        <c:crosses val="autoZero"/>
        <c:auto val="1"/>
        <c:lblAlgn val="ctr"/>
        <c:lblOffset val="100"/>
        <c:noMultiLvlLbl val="0"/>
      </c:catAx>
      <c:valAx>
        <c:axId val="365963904"/>
        <c:scaling>
          <c:orientation val="minMax"/>
        </c:scaling>
        <c:delete val="0"/>
        <c:axPos val="r"/>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365962368"/>
        <c:crosses val="max"/>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dTable>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ysClr val="windowText" lastClr="000000"/>
          </a:solidFill>
        </a:defRPr>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[修改的图.xlsx]Sheet4!$F$14</c:f>
              <c:strCache>
                <c:ptCount val="1"/>
                <c:pt idx="0">
                  <c:v>汇总</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Sheet4!$E$15:$E$19</c:f>
              <c:strCache>
                <c:ptCount val="4"/>
                <c:pt idx="0">
                  <c:v>很满意</c:v>
                </c:pt>
                <c:pt idx="1">
                  <c:v>满意</c:v>
                </c:pt>
                <c:pt idx="2">
                  <c:v>一般</c:v>
                </c:pt>
                <c:pt idx="3">
                  <c:v>不满意</c:v>
                </c:pt>
              </c:strCache>
            </c:strRef>
          </c:cat>
          <c:val>
            <c:numRef>
              <c:f>Sheet4!$F$15:$F$19</c:f>
              <c:numCache>
                <c:formatCode>0.00%</c:formatCode>
                <c:ptCount val="4"/>
                <c:pt idx="0">
                  <c:v>0.363636363636364</c:v>
                </c:pt>
                <c:pt idx="1">
                  <c:v>0.431818181818182</c:v>
                </c:pt>
                <c:pt idx="2">
                  <c:v>0.196969696969697</c:v>
                </c:pt>
                <c:pt idx="3">
                  <c:v>0.00757575757575758</c:v>
                </c:pt>
              </c:numCache>
            </c:numRef>
          </c:val>
        </c:ser>
        <c:dLbls>
          <c:showLegendKey val="0"/>
          <c:showVal val="1"/>
          <c:showCatName val="0"/>
          <c:showSerName val="0"/>
          <c:showPercent val="0"/>
          <c:showBubbleSize val="0"/>
        </c:dLbls>
        <c:gapWidth val="219"/>
        <c:overlap val="-27"/>
        <c:axId val="365989888"/>
        <c:axId val="365992576"/>
      </c:barChart>
      <c:catAx>
        <c:axId val="36598988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365992576"/>
        <c:crosses val="autoZero"/>
        <c:auto val="1"/>
        <c:lblAlgn val="ctr"/>
        <c:lblOffset val="100"/>
        <c:noMultiLvlLbl val="0"/>
      </c:catAx>
      <c:valAx>
        <c:axId val="3659925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365989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[修改的图.xlsx]Sheet4!$C$93</c:f>
              <c:strCache>
                <c:ptCount val="1"/>
                <c:pt idx="0">
                  <c:v>汇总</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[修改的图.xlsx]Sheet4!$B$94:$B$106</c:f>
              <c:strCache>
                <c:ptCount val="12"/>
                <c:pt idx="0">
                  <c:v>创新能力</c:v>
                </c:pt>
                <c:pt idx="1">
                  <c:v>分析能力</c:v>
                </c:pt>
                <c:pt idx="2">
                  <c:v>人际沟通能力</c:v>
                </c:pt>
                <c:pt idx="3">
                  <c:v>时间管理能力</c:v>
                </c:pt>
                <c:pt idx="4">
                  <c:v>团队协作能力</c:v>
                </c:pt>
                <c:pt idx="5">
                  <c:v>文字表达能力</c:v>
                </c:pt>
                <c:pt idx="6">
                  <c:v>问题解决能力</c:v>
                </c:pt>
                <c:pt idx="7">
                  <c:v>信息感知能力</c:v>
                </c:pt>
                <c:pt idx="8">
                  <c:v>学习能力</c:v>
                </c:pt>
                <c:pt idx="9">
                  <c:v>语言表达能力</c:v>
                </c:pt>
                <c:pt idx="10">
                  <c:v>执行能力</c:v>
                </c:pt>
                <c:pt idx="11">
                  <c:v>组织协调能力</c:v>
                </c:pt>
              </c:strCache>
            </c:strRef>
          </c:cat>
          <c:val>
            <c:numRef>
              <c:f>[修改的图.xlsx]Sheet4!$C$94:$C$106</c:f>
              <c:numCache>
                <c:formatCode>General</c:formatCode>
                <c:ptCount val="12"/>
                <c:pt idx="0">
                  <c:v>44</c:v>
                </c:pt>
                <c:pt idx="1">
                  <c:v>25</c:v>
                </c:pt>
                <c:pt idx="2">
                  <c:v>60</c:v>
                </c:pt>
                <c:pt idx="3">
                  <c:v>32</c:v>
                </c:pt>
                <c:pt idx="4">
                  <c:v>59</c:v>
                </c:pt>
                <c:pt idx="5">
                  <c:v>30</c:v>
                </c:pt>
                <c:pt idx="6">
                  <c:v>58</c:v>
                </c:pt>
                <c:pt idx="7">
                  <c:v>30</c:v>
                </c:pt>
                <c:pt idx="8">
                  <c:v>60</c:v>
                </c:pt>
                <c:pt idx="9">
                  <c:v>55</c:v>
                </c:pt>
                <c:pt idx="10">
                  <c:v>40</c:v>
                </c:pt>
                <c:pt idx="11">
                  <c:v>53</c:v>
                </c:pt>
              </c:numCache>
            </c:numRef>
          </c:val>
        </c:ser>
        <c:dLbls>
          <c:showLegendKey val="0"/>
          <c:showVal val="1"/>
          <c:showCatName val="0"/>
          <c:showSerName val="0"/>
          <c:showPercent val="0"/>
          <c:showBubbleSize val="0"/>
        </c:dLbls>
        <c:gapWidth val="219"/>
        <c:axId val="366089344"/>
        <c:axId val="366096384"/>
      </c:barChart>
      <c:catAx>
        <c:axId val="366089344"/>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366096384"/>
        <c:crosses val="autoZero"/>
        <c:auto val="1"/>
        <c:lblAlgn val="ctr"/>
        <c:lblOffset val="100"/>
        <c:noMultiLvlLbl val="0"/>
      </c:catAx>
      <c:valAx>
        <c:axId val="36609638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366089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ysClr val="windowText" lastClr="000000"/>
          </a:solidFill>
        </a:defRPr>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[修改的图.xlsx]Sheet4!$D$135</c:f>
              <c:strCache>
                <c:ptCount val="1"/>
                <c:pt idx="0">
                  <c:v>汇总</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[修改的图.xlsx]Sheet4!$C$136:$C$145</c:f>
              <c:strCache>
                <c:ptCount val="9"/>
                <c:pt idx="0">
                  <c:v>加强基础知识的培养，拓宽学生的知识面</c:v>
                </c:pt>
                <c:pt idx="1">
                  <c:v>加强学生创新能力的培养</c:v>
                </c:pt>
                <c:pt idx="2">
                  <c:v>加强学生人生观、职业道德和劳动态度的培养</c:v>
                </c:pt>
                <c:pt idx="3">
                  <c:v>加强学生人文社会科学素养的训练</c:v>
                </c:pt>
                <c:pt idx="4">
                  <c:v>加强学生应用能力的培养</c:v>
                </c:pt>
                <c:pt idx="5">
                  <c:v>加强专业知识的培养</c:v>
                </c:pt>
                <c:pt idx="6">
                  <c:v>强化专业实践环节，增强学生实践能力</c:v>
                </c:pt>
                <c:pt idx="7">
                  <c:v>拓宽专业口径，增强专业适应性</c:v>
                </c:pt>
                <c:pt idx="8">
                  <c:v>专业设置动态调整，满足社会发展需要</c:v>
                </c:pt>
              </c:strCache>
            </c:strRef>
          </c:cat>
          <c:val>
            <c:numRef>
              <c:f>[修改的图.xlsx]Sheet4!$D$136:$D$145</c:f>
              <c:numCache>
                <c:formatCode>General</c:formatCode>
                <c:ptCount val="9"/>
                <c:pt idx="0">
                  <c:v>66</c:v>
                </c:pt>
                <c:pt idx="1">
                  <c:v>50</c:v>
                </c:pt>
                <c:pt idx="2">
                  <c:v>59</c:v>
                </c:pt>
                <c:pt idx="3">
                  <c:v>42</c:v>
                </c:pt>
                <c:pt idx="4">
                  <c:v>61</c:v>
                </c:pt>
                <c:pt idx="5">
                  <c:v>54</c:v>
                </c:pt>
                <c:pt idx="6">
                  <c:v>77</c:v>
                </c:pt>
                <c:pt idx="7">
                  <c:v>60</c:v>
                </c:pt>
                <c:pt idx="8">
                  <c:v>58</c:v>
                </c:pt>
              </c:numCache>
            </c:numRef>
          </c:val>
        </c:ser>
        <c:dLbls>
          <c:showLegendKey val="0"/>
          <c:showVal val="1"/>
          <c:showCatName val="0"/>
          <c:showSerName val="0"/>
          <c:showPercent val="0"/>
          <c:showBubbleSize val="0"/>
        </c:dLbls>
        <c:gapWidth val="219"/>
        <c:axId val="366139648"/>
        <c:axId val="366146688"/>
      </c:barChart>
      <c:catAx>
        <c:axId val="366139648"/>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366146688"/>
        <c:crosses val="autoZero"/>
        <c:auto val="1"/>
        <c:lblAlgn val="ctr"/>
        <c:lblOffset val="100"/>
        <c:noMultiLvlLbl val="0"/>
      </c:catAx>
      <c:valAx>
        <c:axId val="36614668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366139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ysClr val="windowText" lastClr="000000"/>
          </a:solidFill>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3768682538569"/>
          <c:y val="0.00561955605507165"/>
          <c:w val="0.652488192768343"/>
          <c:h val="0.915278083256353"/>
        </c:manualLayout>
      </c:layout>
      <c:barChart>
        <c:barDir val="bar"/>
        <c:grouping val="clustered"/>
        <c:varyColors val="0"/>
        <c:ser>
          <c:idx val="0"/>
          <c:order val="0"/>
          <c:tx>
            <c:strRef>
              <c:f>Sheet1!$B$1</c:f>
              <c:strCache>
                <c:ptCount val="1"/>
                <c:pt idx="0">
                  <c:v>系列 1</c:v>
                </c:pt>
              </c:strCache>
            </c:strRef>
          </c:tx>
          <c:spPr>
            <a:solidFill>
              <a:srgbClr val="5B9BD5"/>
            </a:solidFill>
            <a:ln>
              <a:noFill/>
            </a:ln>
            <a:effectLst/>
          </c:spPr>
          <c:invertIfNegative val="0"/>
          <c:dPt>
            <c:idx val="7"/>
            <c:invertIfNegative val="0"/>
            <c:bubble3D val="0"/>
          </c:dPt>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Sheet1!$A$2:$A$9</c:f>
              <c:strCache>
                <c:ptCount val="8"/>
                <c:pt idx="0">
                  <c:v>校园招聘活动情况</c:v>
                </c:pt>
                <c:pt idx="1">
                  <c:v>创新创业教育开展情况</c:v>
                </c:pt>
                <c:pt idx="2">
                  <c:v>就业创业政策宣传咨询情况</c:v>
                </c:pt>
                <c:pt idx="3">
                  <c:v>就业信息数量与质量</c:v>
                </c:pt>
                <c:pt idx="4">
                  <c:v>就业指导工作总体评价</c:v>
                </c:pt>
                <c:pt idx="5">
                  <c:v>就业手续办理满意程度</c:v>
                </c:pt>
                <c:pt idx="6">
                  <c:v>职业生涯规划知识普及程度</c:v>
                </c:pt>
                <c:pt idx="7">
                  <c:v>求职择业指导开展情况</c:v>
                </c:pt>
              </c:strCache>
            </c:strRef>
          </c:cat>
          <c:val>
            <c:numRef>
              <c:f>Sheet1!$B$2:$B$9</c:f>
              <c:numCache>
                <c:formatCode>0.00%</c:formatCode>
                <c:ptCount val="8"/>
                <c:pt idx="0">
                  <c:v>0.8365</c:v>
                </c:pt>
                <c:pt idx="1">
                  <c:v>0.8873</c:v>
                </c:pt>
                <c:pt idx="2">
                  <c:v>0.9001</c:v>
                </c:pt>
                <c:pt idx="3">
                  <c:v>0.8524</c:v>
                </c:pt>
                <c:pt idx="4">
                  <c:v>0.8547</c:v>
                </c:pt>
                <c:pt idx="5">
                  <c:v>0.8321</c:v>
                </c:pt>
                <c:pt idx="6">
                  <c:v>0.8426</c:v>
                </c:pt>
                <c:pt idx="7">
                  <c:v>0.8981</c:v>
                </c:pt>
              </c:numCache>
            </c:numRef>
          </c:val>
        </c:ser>
        <c:dLbls>
          <c:showLegendKey val="0"/>
          <c:showVal val="0"/>
          <c:showCatName val="0"/>
          <c:showSerName val="0"/>
          <c:showPercent val="0"/>
          <c:showBubbleSize val="0"/>
        </c:dLbls>
        <c:gapWidth val="100"/>
        <c:axId val="398988800"/>
        <c:axId val="398990720"/>
      </c:barChart>
      <c:catAx>
        <c:axId val="398988800"/>
        <c:scaling>
          <c:orientation val="minMax"/>
        </c:scaling>
        <c:delete val="0"/>
        <c:axPos val="l"/>
        <c:numFmt formatCode="General" sourceLinked="1"/>
        <c:majorTickMark val="in"/>
        <c:minorTickMark val="none"/>
        <c:tickLblPos val="nextTo"/>
        <c:spPr>
          <a:noFill/>
          <a:ln w="9525" cap="flat" cmpd="sng" algn="ctr">
            <a:solidFill>
              <a:schemeClr val="bg1">
                <a:lumMod val="50000"/>
              </a:schemeClr>
            </a:solid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398990720"/>
        <c:crosses val="autoZero"/>
        <c:auto val="1"/>
        <c:lblAlgn val="ctr"/>
        <c:lblOffset val="100"/>
        <c:noMultiLvlLbl val="0"/>
      </c:catAx>
      <c:valAx>
        <c:axId val="398990720"/>
        <c:scaling>
          <c:orientation val="minMax"/>
          <c:max val="1"/>
          <c:min val="0"/>
        </c:scaling>
        <c:delete val="0"/>
        <c:axPos val="b"/>
        <c:numFmt formatCode="0.00%" sourceLinked="1"/>
        <c:majorTickMark val="in"/>
        <c:minorTickMark val="none"/>
        <c:tickLblPos val="nextTo"/>
        <c:spPr>
          <a:noFill/>
          <a:ln w="6350" cap="flat" cmpd="sng" algn="ctr">
            <a:solidFill>
              <a:schemeClr val="bg1">
                <a:lumMod val="50000"/>
              </a:schemeClr>
            </a:solid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398988800"/>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bg1"/>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026471691039"/>
          <c:y val="0.0655029138306864"/>
          <c:w val="0.898893829123095"/>
          <c:h val="0.507052093064638"/>
        </c:manualLayout>
      </c:layout>
      <c:barChart>
        <c:barDir val="col"/>
        <c:grouping val="clustered"/>
        <c:varyColors val="0"/>
        <c:ser>
          <c:idx val="0"/>
          <c:order val="0"/>
          <c:tx>
            <c:strRef>
              <c:f>Sheet1!$B$1</c:f>
              <c:strCache>
                <c:ptCount val="1"/>
                <c:pt idx="0">
                  <c:v>满意度</c:v>
                </c:pt>
              </c:strCache>
            </c:strRef>
          </c:tx>
          <c:spPr>
            <a:solidFill>
              <a:srgbClr val="5B9BD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Sheet1!$A$2:$A$10</c:f>
              <c:strCache>
                <c:ptCount val="9"/>
                <c:pt idx="0">
                  <c:v>舞蹈艺术学院</c:v>
                </c:pt>
                <c:pt idx="1">
                  <c:v>动画学院</c:v>
                </c:pt>
                <c:pt idx="2">
                  <c:v>信息技术与文化管理学院</c:v>
                </c:pt>
                <c:pt idx="3">
                  <c:v>国际传播学院</c:v>
                </c:pt>
                <c:pt idx="4">
                  <c:v>艺术设计学院</c:v>
                </c:pt>
                <c:pt idx="5">
                  <c:v>艺术体育学院</c:v>
                </c:pt>
                <c:pt idx="6">
                  <c:v>新闻传播学院</c:v>
                </c:pt>
                <c:pt idx="7">
                  <c:v>影视艺术学院</c:v>
                </c:pt>
                <c:pt idx="8">
                  <c:v>表演艺术学院</c:v>
                </c:pt>
              </c:strCache>
            </c:strRef>
          </c:cat>
          <c:val>
            <c:numRef>
              <c:f>Sheet1!$B$2:$B$10</c:f>
              <c:numCache>
                <c:formatCode>0.00%</c:formatCode>
                <c:ptCount val="9"/>
                <c:pt idx="0">
                  <c:v>0.91256</c:v>
                </c:pt>
                <c:pt idx="1">
                  <c:v>0.89123</c:v>
                </c:pt>
                <c:pt idx="2">
                  <c:v>0.882165</c:v>
                </c:pt>
                <c:pt idx="3">
                  <c:v>0.872165</c:v>
                </c:pt>
                <c:pt idx="4">
                  <c:v>0.86231</c:v>
                </c:pt>
                <c:pt idx="5">
                  <c:v>0.8556</c:v>
                </c:pt>
                <c:pt idx="6">
                  <c:v>0.849579</c:v>
                </c:pt>
                <c:pt idx="7">
                  <c:v>0.825611</c:v>
                </c:pt>
                <c:pt idx="8">
                  <c:v>0.8123</c:v>
                </c:pt>
              </c:numCache>
            </c:numRef>
          </c:val>
        </c:ser>
        <c:dLbls>
          <c:showLegendKey val="0"/>
          <c:showVal val="0"/>
          <c:showCatName val="0"/>
          <c:showSerName val="0"/>
          <c:showPercent val="0"/>
          <c:showBubbleSize val="0"/>
        </c:dLbls>
        <c:gapWidth val="100"/>
        <c:axId val="400327808"/>
        <c:axId val="400329344"/>
      </c:barChart>
      <c:catAx>
        <c:axId val="400327808"/>
        <c:scaling>
          <c:orientation val="minMax"/>
        </c:scaling>
        <c:delete val="0"/>
        <c:axPos val="b"/>
        <c:numFmt formatCode="General" sourceLinked="1"/>
        <c:majorTickMark val="in"/>
        <c:minorTickMark val="none"/>
        <c:tickLblPos val="nextTo"/>
        <c:spPr>
          <a:noFill/>
          <a:ln w="9525" cap="flat" cmpd="sng" algn="ctr">
            <a:solidFill>
              <a:schemeClr val="bg1">
                <a:lumMod val="50000"/>
              </a:schemeClr>
            </a:solidFill>
            <a:prstDash val="solid"/>
            <a:round/>
          </a:ln>
          <a:effectLst/>
        </c:spPr>
        <c:txPr>
          <a:bodyPr rot="-3000000" spcFirstLastPara="1"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400329344"/>
        <c:crosses val="autoZero"/>
        <c:auto val="1"/>
        <c:lblAlgn val="ctr"/>
        <c:lblOffset val="100"/>
        <c:noMultiLvlLbl val="0"/>
      </c:catAx>
      <c:valAx>
        <c:axId val="400329344"/>
        <c:scaling>
          <c:orientation val="minMax"/>
          <c:max val="1"/>
          <c:min val="0.4"/>
        </c:scaling>
        <c:delete val="0"/>
        <c:axPos val="l"/>
        <c:numFmt formatCode="0.00%" sourceLinked="1"/>
        <c:majorTickMark val="in"/>
        <c:minorTickMark val="none"/>
        <c:tickLblPos val="nextTo"/>
        <c:spPr>
          <a:noFill/>
          <a:ln w="6350" cap="flat" cmpd="sng" algn="ctr">
            <a:solidFill>
              <a:schemeClr val="bg1">
                <a:lumMod val="50000"/>
              </a:schemeClr>
            </a:solid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400327808"/>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bg1"/>
      </a:solidFill>
      <a:prstDash val="solid"/>
      <a:round/>
    </a:ln>
    <a:effectLst/>
  </c:spPr>
  <c:txPr>
    <a:bodyPr/>
    <a:lstStyle/>
    <a:p>
      <a:pPr>
        <a:defRPr lang="zh-CN">
          <a:solidFill>
            <a:sysClr val="windowText" lastClr="000000"/>
          </a:solidFill>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026471691039"/>
          <c:y val="0.0912586094523419"/>
          <c:w val="0.898893829123095"/>
          <c:h val="0.401088204223435"/>
        </c:manualLayout>
      </c:layout>
      <c:barChart>
        <c:barDir val="col"/>
        <c:grouping val="clustered"/>
        <c:varyColors val="0"/>
        <c:ser>
          <c:idx val="0"/>
          <c:order val="0"/>
          <c:tx>
            <c:strRef>
              <c:f>Sheet1!$B$1</c:f>
              <c:strCache>
                <c:ptCount val="1"/>
                <c:pt idx="0">
                  <c:v>满意度</c:v>
                </c:pt>
              </c:strCache>
            </c:strRef>
          </c:tx>
          <c:spPr>
            <a:solidFill>
              <a:srgbClr val="5B9BD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Sheet1!$A$2:$A$9</c:f>
              <c:strCache>
                <c:ptCount val="8"/>
                <c:pt idx="0">
                  <c:v>表演艺术学院</c:v>
                </c:pt>
                <c:pt idx="1">
                  <c:v>舞蹈艺术学院</c:v>
                </c:pt>
                <c:pt idx="2">
                  <c:v>艺术体育学院</c:v>
                </c:pt>
                <c:pt idx="3">
                  <c:v>动画学院</c:v>
                </c:pt>
                <c:pt idx="4">
                  <c:v>艺术设计学院</c:v>
                </c:pt>
                <c:pt idx="5">
                  <c:v>影视艺术学院</c:v>
                </c:pt>
                <c:pt idx="6">
                  <c:v>新闻传播学院</c:v>
                </c:pt>
                <c:pt idx="7">
                  <c:v>信息技术与文化管理学院</c:v>
                </c:pt>
              </c:strCache>
            </c:strRef>
          </c:cat>
          <c:val>
            <c:numRef>
              <c:f>Sheet1!$B$2:$B$9</c:f>
              <c:numCache>
                <c:formatCode>0.00%</c:formatCode>
                <c:ptCount val="8"/>
                <c:pt idx="0">
                  <c:v>0.9012</c:v>
                </c:pt>
                <c:pt idx="1">
                  <c:v>0.8945</c:v>
                </c:pt>
                <c:pt idx="2">
                  <c:v>0.87</c:v>
                </c:pt>
                <c:pt idx="3">
                  <c:v>0.8556</c:v>
                </c:pt>
                <c:pt idx="4">
                  <c:v>0.835903</c:v>
                </c:pt>
                <c:pt idx="5">
                  <c:v>0.824545</c:v>
                </c:pt>
                <c:pt idx="6">
                  <c:v>0.818918</c:v>
                </c:pt>
                <c:pt idx="7">
                  <c:v>0.8</c:v>
                </c:pt>
              </c:numCache>
            </c:numRef>
          </c:val>
        </c:ser>
        <c:dLbls>
          <c:showLegendKey val="0"/>
          <c:showVal val="0"/>
          <c:showCatName val="0"/>
          <c:showSerName val="0"/>
          <c:showPercent val="0"/>
          <c:showBubbleSize val="0"/>
        </c:dLbls>
        <c:gapWidth val="100"/>
        <c:axId val="140564736"/>
        <c:axId val="140705792"/>
      </c:barChart>
      <c:catAx>
        <c:axId val="140564736"/>
        <c:scaling>
          <c:orientation val="minMax"/>
        </c:scaling>
        <c:delete val="0"/>
        <c:axPos val="b"/>
        <c:numFmt formatCode="General" sourceLinked="1"/>
        <c:majorTickMark val="in"/>
        <c:minorTickMark val="none"/>
        <c:tickLblPos val="nextTo"/>
        <c:txPr>
          <a:bodyPr rot="-3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0705792"/>
        <c:crosses val="autoZero"/>
        <c:auto val="1"/>
        <c:lblAlgn val="ctr"/>
        <c:lblOffset val="100"/>
        <c:noMultiLvlLbl val="0"/>
      </c:catAx>
      <c:valAx>
        <c:axId val="140705792"/>
        <c:scaling>
          <c:orientation val="minMax"/>
          <c:max val="1"/>
          <c:min val="0.4"/>
        </c:scaling>
        <c:delete val="0"/>
        <c:axPos val="l"/>
        <c:numFmt formatCode="0.00%" sourceLinked="1"/>
        <c:majorTickMark val="in"/>
        <c:minorTickMark val="none"/>
        <c:tickLblPos val="nextTo"/>
        <c:spPr>
          <a:noFill/>
          <a:ln w="6350" cap="flat" cmpd="sng" algn="ctr">
            <a:solidFill>
              <a:schemeClr val="bg1">
                <a:lumMod val="50000"/>
              </a:schemeClr>
            </a:solid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40564736"/>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bg1"/>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[工作簿1]Sheet1!$F$20</c:f>
              <c:strCache>
                <c:ptCount val="1"/>
                <c:pt idx="0">
                  <c:v>汇总</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Sheet1!$E$21:$E$27</c:f>
              <c:strCache>
                <c:ptCount val="6"/>
                <c:pt idx="0">
                  <c:v>就业手续办理</c:v>
                </c:pt>
                <c:pt idx="1">
                  <c:v>对毕业生的鉴定、推荐</c:v>
                </c:pt>
                <c:pt idx="2">
                  <c:v>对毕业生的职业教育和就业指导</c:v>
                </c:pt>
                <c:pt idx="3">
                  <c:v>总体满意度</c:v>
                </c:pt>
                <c:pt idx="4">
                  <c:v>招聘信息发布</c:v>
                </c:pt>
                <c:pt idx="5">
                  <c:v>校园招聘活动组织情况</c:v>
                </c:pt>
              </c:strCache>
            </c:strRef>
          </c:cat>
          <c:val>
            <c:numRef>
              <c:f>Sheet1!$F$21:$F$27</c:f>
              <c:numCache>
                <c:formatCode>General</c:formatCode>
                <c:ptCount val="6"/>
                <c:pt idx="0">
                  <c:v>4.29</c:v>
                </c:pt>
                <c:pt idx="1">
                  <c:v>4.32</c:v>
                </c:pt>
                <c:pt idx="2">
                  <c:v>4.46</c:v>
                </c:pt>
                <c:pt idx="3">
                  <c:v>4.61</c:v>
                </c:pt>
                <c:pt idx="4">
                  <c:v>4.75</c:v>
                </c:pt>
                <c:pt idx="5">
                  <c:v>4.8</c:v>
                </c:pt>
              </c:numCache>
            </c:numRef>
          </c:val>
        </c:ser>
        <c:dLbls>
          <c:showLegendKey val="0"/>
          <c:showVal val="1"/>
          <c:showCatName val="0"/>
          <c:showSerName val="0"/>
          <c:showPercent val="0"/>
          <c:showBubbleSize val="0"/>
        </c:dLbls>
        <c:gapWidth val="219"/>
        <c:axId val="140740864"/>
        <c:axId val="140981376"/>
      </c:barChart>
      <c:catAx>
        <c:axId val="140740864"/>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140981376"/>
        <c:crosses val="autoZero"/>
        <c:auto val="1"/>
        <c:lblAlgn val="ctr"/>
        <c:lblOffset val="100"/>
        <c:noMultiLvlLbl val="0"/>
      </c:catAx>
      <c:valAx>
        <c:axId val="14098137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140740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ysClr val="windowText" lastClr="000000"/>
          </a:solidFill>
        </a:defRPr>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a:t>抽样调查的</a:t>
            </a:r>
            <a:r>
              <a:rPr lang="en-US" altLang="zh-CN" sz="1400"/>
              <a:t>2017</a:t>
            </a:r>
            <a:r>
              <a:rPr lang="zh-CN" altLang="en-US" sz="1400"/>
              <a:t>届毕业生分学院统计情况</a:t>
            </a:r>
            <a:endParaRPr lang="zh-CN" altLang="en-US" sz="1400"/>
          </a:p>
        </c:rich>
      </c:tx>
      <c:layout/>
      <c:overlay val="0"/>
      <c:spPr>
        <a:noFill/>
        <a:ln>
          <a:noFill/>
        </a:ln>
        <a:effectLst/>
      </c:spPr>
    </c:title>
    <c:autoTitleDeleted val="0"/>
    <c:plotArea>
      <c:layout/>
      <c:barChart>
        <c:barDir val="col"/>
        <c:grouping val="clustered"/>
        <c:varyColors val="0"/>
        <c:ser>
          <c:idx val="1"/>
          <c:order val="1"/>
          <c:tx>
            <c:strRef>
              <c:f>Sheet1!$C$1</c:f>
              <c:strCache>
                <c:ptCount val="1"/>
                <c:pt idx="0">
                  <c:v>人数</c:v>
                </c:pt>
              </c:strCache>
            </c:strRef>
          </c:tx>
          <c:spPr>
            <a:solidFill>
              <a:schemeClr val="accent5"/>
            </a:solidFill>
            <a:ln>
              <a:noFill/>
            </a:ln>
            <a:effectLst/>
          </c:spPr>
          <c:invertIfNegative val="0"/>
          <c:dLbls>
            <c:delete val="1"/>
          </c:dLbls>
          <c:cat>
            <c:strRef>
              <c:f>Sheet1!$A$2:$A$10</c:f>
              <c:strCache>
                <c:ptCount val="9"/>
                <c:pt idx="0">
                  <c:v>新闻传播学院</c:v>
                </c:pt>
                <c:pt idx="1">
                  <c:v>影视艺术学院</c:v>
                </c:pt>
                <c:pt idx="2">
                  <c:v>国际传播学院</c:v>
                </c:pt>
                <c:pt idx="3">
                  <c:v>信息技术与文化管理学院</c:v>
                </c:pt>
                <c:pt idx="4">
                  <c:v>舞蹈艺术学院</c:v>
                </c:pt>
                <c:pt idx="5">
                  <c:v>表演艺术学院</c:v>
                </c:pt>
                <c:pt idx="6">
                  <c:v>动画学院</c:v>
                </c:pt>
                <c:pt idx="7">
                  <c:v>艺术设计学院</c:v>
                </c:pt>
                <c:pt idx="8">
                  <c:v>艺术体育学院</c:v>
                </c:pt>
              </c:strCache>
            </c:strRef>
          </c:cat>
          <c:val>
            <c:numRef>
              <c:f>Sheet1!$C$2:$C$10</c:f>
              <c:numCache>
                <c:formatCode>General</c:formatCode>
                <c:ptCount val="9"/>
                <c:pt idx="0">
                  <c:v>357</c:v>
                </c:pt>
                <c:pt idx="1">
                  <c:v>443</c:v>
                </c:pt>
                <c:pt idx="2">
                  <c:v>85</c:v>
                </c:pt>
                <c:pt idx="3">
                  <c:v>103</c:v>
                </c:pt>
                <c:pt idx="4">
                  <c:v>28</c:v>
                </c:pt>
                <c:pt idx="5">
                  <c:v>124</c:v>
                </c:pt>
                <c:pt idx="6">
                  <c:v>3</c:v>
                </c:pt>
                <c:pt idx="7">
                  <c:v>153</c:v>
                </c:pt>
                <c:pt idx="8">
                  <c:v>21</c:v>
                </c:pt>
              </c:numCache>
            </c:numRef>
          </c:val>
        </c:ser>
        <c:dLbls>
          <c:showLegendKey val="0"/>
          <c:showVal val="0"/>
          <c:showCatName val="0"/>
          <c:showSerName val="0"/>
          <c:showPercent val="0"/>
          <c:showBubbleSize val="0"/>
        </c:dLbls>
        <c:gapWidth val="300"/>
        <c:axId val="141793536"/>
        <c:axId val="141795328"/>
      </c:barChart>
      <c:lineChart>
        <c:grouping val="standard"/>
        <c:varyColors val="0"/>
        <c:ser>
          <c:idx val="0"/>
          <c:order val="0"/>
          <c:tx>
            <c:strRef>
              <c:f>Sheet1!$B$1</c:f>
              <c:strCache>
                <c:ptCount val="1"/>
                <c:pt idx="0">
                  <c:v>百分比</c:v>
                </c:pt>
              </c:strCache>
            </c:strRef>
          </c:tx>
          <c:spPr>
            <a:ln w="19050" cap="rnd" cmpd="sng" algn="ctr">
              <a:solidFill>
                <a:schemeClr val="accent6"/>
              </a:solidFill>
              <a:prstDash val="solid"/>
              <a:round/>
            </a:ln>
            <a:effectLst/>
          </c:spPr>
          <c:marker>
            <c:symbol val="none"/>
          </c:marker>
          <c:dLbls>
            <c:delete val="1"/>
          </c:dLbls>
          <c:cat>
            <c:strRef>
              <c:f>Sheet1!$A$2:$A$10</c:f>
              <c:strCache>
                <c:ptCount val="9"/>
                <c:pt idx="0">
                  <c:v>新闻传播学院</c:v>
                </c:pt>
                <c:pt idx="1">
                  <c:v>影视艺术学院</c:v>
                </c:pt>
                <c:pt idx="2">
                  <c:v>国际传播学院</c:v>
                </c:pt>
                <c:pt idx="3">
                  <c:v>信息技术与文化管理学院</c:v>
                </c:pt>
                <c:pt idx="4">
                  <c:v>舞蹈艺术学院</c:v>
                </c:pt>
                <c:pt idx="5">
                  <c:v>表演艺术学院</c:v>
                </c:pt>
                <c:pt idx="6">
                  <c:v>动画学院</c:v>
                </c:pt>
                <c:pt idx="7">
                  <c:v>艺术设计学院</c:v>
                </c:pt>
                <c:pt idx="8">
                  <c:v>艺术体育学院</c:v>
                </c:pt>
              </c:strCache>
            </c:strRef>
          </c:cat>
          <c:val>
            <c:numRef>
              <c:f>Sheet1!$B$2:$B$10</c:f>
              <c:numCache>
                <c:formatCode>0.00%</c:formatCode>
                <c:ptCount val="9"/>
                <c:pt idx="0">
                  <c:v>0.271070615034169</c:v>
                </c:pt>
                <c:pt idx="1">
                  <c:v>0.336370539104024</c:v>
                </c:pt>
                <c:pt idx="2">
                  <c:v>0.064540622627183</c:v>
                </c:pt>
                <c:pt idx="3">
                  <c:v>0.0782080485952923</c:v>
                </c:pt>
                <c:pt idx="4">
                  <c:v>0.0212604403948367</c:v>
                </c:pt>
                <c:pt idx="5">
                  <c:v>0.0941533788914199</c:v>
                </c:pt>
                <c:pt idx="6">
                  <c:v>0.00227790432801822</c:v>
                </c:pt>
                <c:pt idx="7">
                  <c:v>0.116173120728929</c:v>
                </c:pt>
                <c:pt idx="8">
                  <c:v>0.0159453302961276</c:v>
                </c:pt>
              </c:numCache>
            </c:numRef>
          </c:val>
          <c:smooth val="0"/>
        </c:ser>
        <c:dLbls>
          <c:showLegendKey val="0"/>
          <c:showVal val="0"/>
          <c:showCatName val="0"/>
          <c:showSerName val="0"/>
          <c:showPercent val="0"/>
          <c:showBubbleSize val="0"/>
        </c:dLbls>
        <c:marker val="0"/>
        <c:smooth val="0"/>
        <c:axId val="141796864"/>
        <c:axId val="141798400"/>
      </c:lineChart>
      <c:catAx>
        <c:axId val="141793536"/>
        <c:scaling>
          <c:orientation val="minMax"/>
        </c:scaling>
        <c:delete val="0"/>
        <c:axPos val="b"/>
        <c:majorTickMark val="none"/>
        <c:minorTickMark val="none"/>
        <c:tickLblPos val="nextTo"/>
        <c:spPr>
          <a:noFill/>
          <a:ln w="6350" cap="flat" cmpd="sng" algn="ctr">
            <a:solidFill>
              <a:schemeClr val="tx1">
                <a:tint val="75000"/>
              </a:schemeClr>
            </a:solidFill>
            <a:prstDash val="solid"/>
            <a:round/>
          </a:ln>
          <a:effectLst/>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795328"/>
        <c:crosses val="autoZero"/>
        <c:auto val="1"/>
        <c:lblAlgn val="ctr"/>
        <c:lblOffset val="100"/>
        <c:noMultiLvlLbl val="0"/>
      </c:catAx>
      <c:valAx>
        <c:axId val="141795328"/>
        <c:scaling>
          <c:orientation val="minMax"/>
        </c:scaling>
        <c:delete val="0"/>
        <c:axPos val="l"/>
        <c:majorGridlines>
          <c:spPr>
            <a:ln w="6350" cap="flat" cmpd="sng" algn="ctr">
              <a:solidFill>
                <a:schemeClr val="tx1">
                  <a:tint val="75000"/>
                </a:schemeClr>
              </a:solidFill>
              <a:prstDash val="solid"/>
              <a:round/>
            </a:ln>
            <a:effectLst/>
          </c:spPr>
        </c:majorGridlines>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793536"/>
        <c:crosses val="autoZero"/>
        <c:crossBetween val="between"/>
      </c:valAx>
      <c:catAx>
        <c:axId val="141796864"/>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798400"/>
        <c:crosses val="autoZero"/>
        <c:auto val="1"/>
        <c:lblAlgn val="ctr"/>
        <c:lblOffset val="100"/>
        <c:noMultiLvlLbl val="0"/>
      </c:catAx>
      <c:valAx>
        <c:axId val="141798400"/>
        <c:scaling>
          <c:orientation val="minMax"/>
        </c:scaling>
        <c:delete val="0"/>
        <c:axPos val="r"/>
        <c:numFmt formatCode="0.00%"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796864"/>
        <c:crosses val="max"/>
        <c:crossBetween val="between"/>
      </c:valAx>
      <c:dTable>
        <c:showHorzBorder val="1"/>
        <c:showVertBorder val="1"/>
        <c:showOutline val="1"/>
        <c:showKeys val="1"/>
        <c:spPr>
          <a:noFill/>
          <a:ln w="6350" cap="flat" cmpd="sng" algn="ctr">
            <a:solidFill>
              <a:schemeClr val="tx1">
                <a:tint val="75000"/>
              </a:schemeClr>
            </a:solidFill>
            <a:prstDash val="solid"/>
            <a:round/>
          </a:ln>
          <a:effectLst/>
        </c:spP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875617-CC0E-48AD-B6B1-C1C3EDB7F9F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70</Pages>
  <Words>7201</Words>
  <Characters>41050</Characters>
  <Lines>342</Lines>
  <Paragraphs>96</Paragraphs>
  <ScaleCrop>false</ScaleCrop>
  <LinksUpToDate>false</LinksUpToDate>
  <CharactersWithSpaces>48155</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2017-11-10T06:37:00Z</dcterms:created>
  <dc:creator>◆帅气范儿つ</dc:creator>
  <cp:lastModifiedBy>Administrator</cp:lastModifiedBy>
  <cp:lastPrinted>2017-12-18T17:19:00Z</cp:lastPrinted>
  <dcterms:modified xsi:type="dcterms:W3CDTF">2017-12-25T01:04:59Z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