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评分细则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各评审应结合教案及课件质量进行综合评分，总分为100分。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楷体_GB2312" w:cs="楷体_GB2312"/>
          <w:b w:val="0"/>
          <w:bCs w:val="0"/>
          <w:sz w:val="32"/>
          <w:szCs w:val="32"/>
          <w:lang w:val="en-US" w:eastAsia="zh-CN"/>
        </w:rPr>
        <w:t>1.宣讲主题（30分）：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主题鲜明，导向正确。能正确运用马克思主义立场、观点和方法，帮助团员解放思想问题，特别是理想、信念、宗旨、作风等方面的问题，形成向上向善的积极导向。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楷体_GB2312" w:cs="楷体_GB2312"/>
          <w:b w:val="0"/>
          <w:bCs w:val="0"/>
          <w:sz w:val="32"/>
          <w:szCs w:val="32"/>
          <w:lang w:val="en-US" w:eastAsia="zh-CN"/>
        </w:rPr>
        <w:t>2.宣讲内容（30分）：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内容丰富，逻辑清晰。能紧扣团课主题设计内容，结构严谨，主线明晰，观点准确，内容丰富，衔接顺畅，素材选用得当，有一定的信息量，语言贴合青年特点，能够将政治思想转化为青年语言，符合微团课内容要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楷体_GB2312" w:cs="楷体_GB2312"/>
          <w:b w:val="0"/>
          <w:bCs w:val="0"/>
          <w:sz w:val="32"/>
          <w:szCs w:val="32"/>
          <w:lang w:val="en-US" w:eastAsia="zh-CN"/>
        </w:rPr>
        <w:t>3.宣讲形式（15分）：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形象生动，引人入胜。能紧扣微团课主题和内容设计讲授形式，有较好的讲授技巧，善于将“大道理”转化为青年易于接受的“小道理”，口头表达清晰准确流利，仪态端庄大方，表情和肢体语言得体，感情饱满有感染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楷体_GB2312" w:cs="楷体_GB2312"/>
          <w:b w:val="0"/>
          <w:bCs w:val="0"/>
          <w:sz w:val="32"/>
          <w:szCs w:val="32"/>
          <w:lang w:val="en-US" w:eastAsia="zh-CN"/>
        </w:rPr>
        <w:t>4.宣讲效果（15分）：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目标明确、达到预期。能结合青年身心特点，领会习近平新时代中国特色社会主义思想，培养和提升团员青年的思辨能力、创新能力，共鸣感强，宣讲效果好。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楷体_GB2312" w:cs="楷体_GB2312"/>
          <w:b w:val="0"/>
          <w:bCs w:val="0"/>
          <w:sz w:val="32"/>
          <w:szCs w:val="32"/>
          <w:lang w:val="en-US" w:eastAsia="zh-CN"/>
        </w:rPr>
        <w:t>5.其他（10分）：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主讲人仪容仪表、精神风貌、礼节礼貌等综合考察。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2010600030101010101"/>
    <w:charset w:val="7A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汉仪书宋二KW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汉仪楷体简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楷体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37E52D2"/>
    <w:rsid w:val="D37E5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2025-03-24T18:41:00Z</dcterms:created>
  <dc:creator>LCCC</dc:creator>
  <cp:lastModifiedBy>LCCC</cp:lastModifiedBy>
  <dcterms:modified xsi:type="dcterms:W3CDTF">2025-03-24T18:41:30Z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81D6615729DECFC8CB36E167E37376B3_41</vt:lpwstr>
  </property>
</Properties>
</file>