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34C88A">
      <w:pPr>
        <w:widowControl/>
        <w:spacing w:line="525" w:lineRule="atLeast"/>
        <w:jc w:val="center"/>
        <w:textAlignment w:val="top"/>
        <w:rPr>
          <w:rStyle w:val="9"/>
          <w:rFonts w:hint="eastAsia" w:ascii="宋体" w:hAnsi="宋体" w:eastAsia="宋体" w:cs="宋体"/>
          <w:sz w:val="32"/>
          <w:szCs w:val="32"/>
          <w:lang w:eastAsia="zh-CN"/>
        </w:rPr>
      </w:pPr>
      <w:bookmarkStart w:id="0" w:name="_GoBack"/>
      <w:bookmarkEnd w:id="0"/>
      <w:r>
        <w:rPr>
          <w:rStyle w:val="9"/>
          <w:rFonts w:hint="eastAsia" w:ascii="宋体" w:hAnsi="宋体" w:eastAsia="宋体" w:cs="宋体"/>
          <w:sz w:val="32"/>
          <w:szCs w:val="32"/>
        </w:rPr>
        <w:t>河北传媒学院</w:t>
      </w:r>
    </w:p>
    <w:p w14:paraId="31814249">
      <w:pPr>
        <w:widowControl/>
        <w:spacing w:line="525" w:lineRule="atLeast"/>
        <w:jc w:val="center"/>
        <w:textAlignment w:val="top"/>
        <w:rPr>
          <w:rFonts w:ascii="微软雅黑" w:hAnsi="微软雅黑" w:eastAsia="微软雅黑" w:cs="微软雅黑"/>
          <w:sz w:val="32"/>
          <w:szCs w:val="32"/>
        </w:rPr>
      </w:pPr>
      <w:r>
        <w:rPr>
          <w:rStyle w:val="9"/>
          <w:rFonts w:hint="eastAsia" w:ascii="宋体" w:hAnsi="宋体" w:eastAsia="宋体" w:cs="宋体"/>
          <w:sz w:val="32"/>
          <w:szCs w:val="32"/>
        </w:rPr>
        <w:t>关于</w:t>
      </w:r>
      <w:r>
        <w:rPr>
          <w:rStyle w:val="9"/>
          <w:rFonts w:hint="eastAsia" w:ascii="宋体" w:hAnsi="宋体" w:eastAsia="宋体" w:cs="宋体"/>
          <w:sz w:val="32"/>
          <w:szCs w:val="32"/>
          <w:lang w:val="en-US" w:eastAsia="zh-CN"/>
        </w:rPr>
        <w:t>组织</w:t>
      </w:r>
      <w:r>
        <w:rPr>
          <w:rStyle w:val="9"/>
          <w:rFonts w:hint="eastAsia" w:ascii="宋体" w:hAnsi="宋体" w:eastAsia="宋体" w:cs="宋体"/>
          <w:sz w:val="32"/>
          <w:szCs w:val="32"/>
        </w:rPr>
        <w:t>202</w:t>
      </w:r>
      <w:r>
        <w:rPr>
          <w:rStyle w:val="9"/>
          <w:rFonts w:hint="eastAsia" w:ascii="宋体" w:hAnsi="宋体" w:eastAsia="宋体" w:cs="宋体"/>
          <w:sz w:val="32"/>
          <w:szCs w:val="32"/>
          <w:lang w:val="en-US" w:eastAsia="zh-CN"/>
        </w:rPr>
        <w:t>5</w:t>
      </w:r>
      <w:r>
        <w:rPr>
          <w:rStyle w:val="9"/>
          <w:rFonts w:hint="eastAsia" w:ascii="宋体" w:hAnsi="宋体" w:eastAsia="宋体" w:cs="宋体"/>
          <w:sz w:val="32"/>
          <w:szCs w:val="32"/>
        </w:rPr>
        <w:t>年度教职工体检的通知</w:t>
      </w:r>
      <w:r>
        <w:rPr>
          <w:rFonts w:hint="eastAsia" w:ascii="微软雅黑" w:hAnsi="微软雅黑" w:eastAsia="微软雅黑" w:cs="微软雅黑"/>
          <w:kern w:val="0"/>
          <w:sz w:val="32"/>
          <w:szCs w:val="32"/>
        </w:rPr>
        <w:t> </w:t>
      </w:r>
    </w:p>
    <w:p w14:paraId="0B5CB4CD">
      <w:pPr>
        <w:rPr>
          <w:rFonts w:hint="eastAsia" w:ascii="宋体" w:hAnsi="宋体" w:eastAsia="宋体" w:cs="宋体"/>
          <w:sz w:val="24"/>
          <w:lang w:eastAsia="zh-CN"/>
        </w:rPr>
      </w:pPr>
      <w:r>
        <w:rPr>
          <w:rFonts w:hint="eastAsia" w:ascii="宋体" w:hAnsi="宋体" w:eastAsia="宋体" w:cs="宋体"/>
          <w:sz w:val="24"/>
        </w:rPr>
        <w:t> </w:t>
      </w:r>
    </w:p>
    <w:p w14:paraId="1690D8E1">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lang w:eastAsia="zh-CN"/>
        </w:rPr>
      </w:pPr>
      <w:r>
        <w:rPr>
          <w:rFonts w:hint="eastAsia" w:ascii="宋体" w:hAnsi="宋体" w:eastAsia="宋体" w:cs="宋体"/>
          <w:sz w:val="28"/>
          <w:szCs w:val="28"/>
        </w:rPr>
        <w:t>各学院、各</w:t>
      </w:r>
      <w:r>
        <w:rPr>
          <w:rFonts w:hint="eastAsia" w:ascii="宋体" w:hAnsi="宋体" w:eastAsia="宋体" w:cs="宋体"/>
          <w:sz w:val="28"/>
          <w:szCs w:val="28"/>
          <w:lang w:val="en-US" w:eastAsia="zh-CN"/>
        </w:rPr>
        <w:t>处室</w:t>
      </w:r>
      <w:r>
        <w:rPr>
          <w:rFonts w:hint="eastAsia" w:ascii="宋体" w:hAnsi="宋体" w:eastAsia="宋体" w:cs="宋体"/>
          <w:sz w:val="28"/>
          <w:szCs w:val="28"/>
        </w:rPr>
        <w:t>:</w:t>
      </w:r>
    </w:p>
    <w:p w14:paraId="33312071">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  </w:t>
      </w:r>
      <w:r>
        <w:rPr>
          <w:rFonts w:hint="eastAsia" w:ascii="宋体" w:hAnsi="宋体" w:eastAsia="宋体" w:cs="宋体"/>
          <w:sz w:val="28"/>
          <w:szCs w:val="28"/>
          <w:lang w:val="en-US" w:eastAsia="zh-CN"/>
        </w:rPr>
        <w:t>为了保障广大教职员工的身体健康，校工会将于6月16日-20日举行2025年度教职工健康体检活动。</w:t>
      </w:r>
      <w:r>
        <w:rPr>
          <w:rFonts w:hint="eastAsia" w:ascii="宋体" w:hAnsi="宋体" w:eastAsia="宋体" w:cs="宋体"/>
          <w:sz w:val="28"/>
          <w:szCs w:val="28"/>
        </w:rPr>
        <w:t>现将有关事项通知如下：</w:t>
      </w:r>
    </w:p>
    <w:p w14:paraId="14D9763D">
      <w:pPr>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Style w:val="9"/>
          <w:rFonts w:hint="eastAsia" w:ascii="宋体" w:hAnsi="宋体" w:eastAsia="宋体" w:cs="宋体"/>
          <w:sz w:val="28"/>
          <w:szCs w:val="28"/>
          <w:lang w:eastAsia="zh-CN"/>
        </w:rPr>
      </w:pPr>
      <w:r>
        <w:rPr>
          <w:rStyle w:val="9"/>
          <w:rFonts w:hint="eastAsia" w:ascii="宋体" w:hAnsi="宋体" w:eastAsia="宋体" w:cs="宋体"/>
          <w:sz w:val="28"/>
          <w:szCs w:val="28"/>
          <w:lang w:eastAsia="zh-CN"/>
        </w:rPr>
        <w:t>一、</w:t>
      </w:r>
      <w:r>
        <w:rPr>
          <w:rStyle w:val="9"/>
          <w:rFonts w:hint="eastAsia" w:ascii="宋体" w:hAnsi="宋体" w:eastAsia="宋体" w:cs="宋体"/>
          <w:sz w:val="28"/>
          <w:szCs w:val="28"/>
        </w:rPr>
        <w:t>体检对象</w:t>
      </w:r>
    </w:p>
    <w:p w14:paraId="6D3AB5A3">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全体工会会员</w:t>
      </w:r>
    </w:p>
    <w:p w14:paraId="76E9EDA9">
      <w:pPr>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Style w:val="9"/>
          <w:rFonts w:hint="eastAsia" w:ascii="宋体" w:hAnsi="宋体" w:eastAsia="宋体" w:cs="宋体"/>
          <w:sz w:val="28"/>
          <w:szCs w:val="28"/>
        </w:rPr>
      </w:pPr>
      <w:r>
        <w:rPr>
          <w:rStyle w:val="9"/>
          <w:rFonts w:hint="eastAsia" w:ascii="宋体" w:hAnsi="宋体" w:eastAsia="宋体" w:cs="宋体"/>
          <w:sz w:val="28"/>
          <w:szCs w:val="28"/>
        </w:rPr>
        <w:t>二、体检地点及时间</w:t>
      </w:r>
    </w:p>
    <w:p w14:paraId="07244BCC">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兴安校区医务室：</w:t>
      </w:r>
      <w:r>
        <w:rPr>
          <w:rFonts w:hint="eastAsia" w:ascii="宋体" w:hAnsi="宋体" w:eastAsia="宋体" w:cs="宋体"/>
          <w:sz w:val="28"/>
          <w:szCs w:val="28"/>
          <w:lang w:val="en-US" w:eastAsia="zh-CN"/>
        </w:rPr>
        <w:t xml:space="preserve"> 6</w:t>
      </w:r>
      <w:r>
        <w:rPr>
          <w:rFonts w:hint="eastAsia" w:ascii="宋体" w:hAnsi="宋体" w:eastAsia="宋体" w:cs="宋体"/>
          <w:sz w:val="28"/>
          <w:szCs w:val="28"/>
        </w:rPr>
        <w:t>月</w:t>
      </w:r>
      <w:r>
        <w:rPr>
          <w:rFonts w:hint="eastAsia" w:ascii="宋体" w:hAnsi="宋体" w:eastAsia="宋体" w:cs="宋体"/>
          <w:sz w:val="28"/>
          <w:szCs w:val="28"/>
          <w:lang w:val="en-US" w:eastAsia="zh-CN"/>
        </w:rPr>
        <w:t>16</w:t>
      </w:r>
      <w:r>
        <w:rPr>
          <w:rFonts w:hint="eastAsia" w:ascii="宋体" w:hAnsi="宋体" w:eastAsia="宋体" w:cs="宋体"/>
          <w:sz w:val="28"/>
          <w:szCs w:val="28"/>
        </w:rPr>
        <w:t>日-</w:t>
      </w:r>
      <w:r>
        <w:rPr>
          <w:rFonts w:hint="eastAsia" w:ascii="宋体" w:hAnsi="宋体" w:eastAsia="宋体" w:cs="宋体"/>
          <w:sz w:val="28"/>
          <w:szCs w:val="28"/>
          <w:lang w:val="en-US" w:eastAsia="zh-CN"/>
        </w:rPr>
        <w:t>18</w:t>
      </w:r>
      <w:r>
        <w:rPr>
          <w:rFonts w:hint="eastAsia" w:ascii="宋体" w:hAnsi="宋体" w:eastAsia="宋体" w:cs="宋体"/>
          <w:sz w:val="28"/>
          <w:szCs w:val="28"/>
        </w:rPr>
        <w:t>日</w:t>
      </w:r>
      <w:r>
        <w:rPr>
          <w:rFonts w:hint="eastAsia" w:ascii="宋体" w:hAnsi="宋体" w:eastAsia="宋体" w:cs="宋体"/>
          <w:sz w:val="28"/>
          <w:szCs w:val="28"/>
          <w:lang w:eastAsia="zh-CN"/>
        </w:rPr>
        <w:t>，</w:t>
      </w:r>
      <w:r>
        <w:rPr>
          <w:rFonts w:hint="eastAsia" w:ascii="宋体" w:hAnsi="宋体" w:eastAsia="宋体" w:cs="宋体"/>
          <w:sz w:val="28"/>
          <w:szCs w:val="28"/>
        </w:rPr>
        <w:t>共</w:t>
      </w:r>
      <w:r>
        <w:rPr>
          <w:rFonts w:hint="eastAsia" w:ascii="宋体" w:hAnsi="宋体" w:eastAsia="宋体" w:cs="宋体"/>
          <w:sz w:val="28"/>
          <w:szCs w:val="28"/>
          <w:lang w:val="en-US" w:eastAsia="zh-CN"/>
        </w:rPr>
        <w:t>3</w:t>
      </w:r>
      <w:r>
        <w:rPr>
          <w:rFonts w:hint="eastAsia" w:ascii="宋体" w:hAnsi="宋体" w:eastAsia="宋体" w:cs="宋体"/>
          <w:sz w:val="28"/>
          <w:szCs w:val="28"/>
        </w:rPr>
        <w:t>天</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全天，7:30—19:00</w:t>
      </w:r>
      <w:r>
        <w:rPr>
          <w:rFonts w:hint="eastAsia" w:ascii="宋体" w:hAnsi="宋体" w:eastAsia="宋体" w:cs="宋体"/>
          <w:sz w:val="28"/>
          <w:szCs w:val="28"/>
          <w:lang w:eastAsia="zh-CN"/>
        </w:rPr>
        <w:t>）</w:t>
      </w:r>
    </w:p>
    <w:p w14:paraId="3AFEB0B6">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lang w:val="en-US" w:eastAsia="zh-CN"/>
        </w:rPr>
        <w:t>鹿泉</w:t>
      </w:r>
      <w:r>
        <w:rPr>
          <w:rFonts w:hint="eastAsia" w:ascii="宋体" w:hAnsi="宋体" w:eastAsia="宋体" w:cs="宋体"/>
          <w:sz w:val="28"/>
          <w:szCs w:val="28"/>
        </w:rPr>
        <w:t>校区医务室：</w:t>
      </w:r>
      <w:r>
        <w:rPr>
          <w:rFonts w:hint="eastAsia" w:ascii="宋体" w:hAnsi="宋体" w:eastAsia="宋体" w:cs="宋体"/>
          <w:sz w:val="28"/>
          <w:szCs w:val="28"/>
          <w:lang w:val="en-US" w:eastAsia="zh-CN"/>
        </w:rPr>
        <w:t>6月19日，</w:t>
      </w:r>
      <w:r>
        <w:rPr>
          <w:rFonts w:hint="eastAsia" w:ascii="宋体" w:hAnsi="宋体" w:eastAsia="宋体" w:cs="宋体"/>
          <w:sz w:val="28"/>
          <w:szCs w:val="28"/>
        </w:rPr>
        <w:t>共</w:t>
      </w:r>
      <w:r>
        <w:rPr>
          <w:rFonts w:hint="eastAsia" w:ascii="宋体" w:hAnsi="宋体" w:eastAsia="宋体" w:cs="宋体"/>
          <w:sz w:val="28"/>
          <w:szCs w:val="28"/>
          <w:lang w:val="en-US" w:eastAsia="zh-CN"/>
        </w:rPr>
        <w:t>1</w:t>
      </w:r>
      <w:r>
        <w:rPr>
          <w:rFonts w:hint="eastAsia" w:ascii="宋体" w:hAnsi="宋体" w:eastAsia="宋体" w:cs="宋体"/>
          <w:sz w:val="28"/>
          <w:szCs w:val="28"/>
        </w:rPr>
        <w:t>天</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全天，7:30—19:00</w:t>
      </w:r>
      <w:r>
        <w:rPr>
          <w:rFonts w:hint="eastAsia" w:ascii="宋体" w:hAnsi="宋体" w:eastAsia="宋体" w:cs="宋体"/>
          <w:sz w:val="28"/>
          <w:szCs w:val="28"/>
          <w:lang w:eastAsia="zh-CN"/>
        </w:rPr>
        <w:t>）</w:t>
      </w:r>
    </w:p>
    <w:p w14:paraId="596E712C">
      <w:pPr>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rPr>
      </w:pPr>
      <w:r>
        <w:rPr>
          <w:rStyle w:val="9"/>
          <w:rFonts w:hint="eastAsia"/>
          <w:b w:val="0"/>
          <w:sz w:val="28"/>
          <w:szCs w:val="28"/>
          <w:lang w:val="en-US" w:eastAsia="zh-CN"/>
        </w:rPr>
        <w:t>警安</w:t>
      </w:r>
      <w:r>
        <w:rPr>
          <w:rStyle w:val="9"/>
          <w:rFonts w:hint="eastAsia"/>
          <w:b w:val="0"/>
          <w:sz w:val="28"/>
          <w:szCs w:val="28"/>
        </w:rPr>
        <w:t>校区</w:t>
      </w:r>
      <w:r>
        <w:rPr>
          <w:rFonts w:hint="eastAsia" w:ascii="宋体" w:hAnsi="宋体" w:eastAsia="宋体" w:cs="宋体"/>
          <w:sz w:val="28"/>
          <w:szCs w:val="28"/>
        </w:rPr>
        <w:t>医务室：</w:t>
      </w:r>
      <w:r>
        <w:rPr>
          <w:rFonts w:hint="eastAsia" w:ascii="宋体" w:hAnsi="宋体" w:eastAsia="宋体" w:cs="宋体"/>
          <w:sz w:val="28"/>
          <w:szCs w:val="28"/>
          <w:lang w:val="en-US" w:eastAsia="zh-CN"/>
        </w:rPr>
        <w:t>6月20日，</w:t>
      </w:r>
      <w:r>
        <w:rPr>
          <w:rFonts w:hint="eastAsia" w:ascii="宋体" w:hAnsi="宋体" w:eastAsia="宋体" w:cs="宋体"/>
          <w:sz w:val="28"/>
          <w:szCs w:val="28"/>
        </w:rPr>
        <w:t>共1天</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全天，7:30—19:00</w:t>
      </w:r>
      <w:r>
        <w:rPr>
          <w:rFonts w:hint="eastAsia" w:ascii="宋体" w:hAnsi="宋体" w:eastAsia="宋体" w:cs="宋体"/>
          <w:sz w:val="28"/>
          <w:szCs w:val="28"/>
          <w:lang w:eastAsia="zh-CN"/>
        </w:rPr>
        <w:t>）</w:t>
      </w:r>
    </w:p>
    <w:p w14:paraId="6D2ADABB">
      <w:pPr>
        <w:pageBreakBefore w:val="0"/>
        <w:widowControl w:val="0"/>
        <w:numPr>
          <w:ilvl w:val="0"/>
          <w:numId w:val="0"/>
        </w:numPr>
        <w:kinsoku/>
        <w:wordWrap/>
        <w:overflowPunct/>
        <w:topLinePunct w:val="0"/>
        <w:autoSpaceDE/>
        <w:autoSpaceDN/>
        <w:bidi w:val="0"/>
        <w:adjustRightInd/>
        <w:snapToGrid/>
        <w:spacing w:line="500" w:lineRule="exact"/>
        <w:ind w:firstLine="562" w:firstLineChars="200"/>
        <w:textAlignment w:val="auto"/>
        <w:rPr>
          <w:rFonts w:ascii="宋体" w:hAnsi="宋体" w:eastAsia="宋体" w:cs="宋体"/>
          <w:sz w:val="28"/>
          <w:szCs w:val="28"/>
        </w:rPr>
      </w:pPr>
      <w:r>
        <w:rPr>
          <w:rStyle w:val="9"/>
          <w:rFonts w:hint="eastAsia" w:ascii="宋体" w:hAnsi="宋体" w:eastAsia="宋体" w:cs="宋体"/>
          <w:sz w:val="28"/>
          <w:szCs w:val="28"/>
        </w:rPr>
        <w:t>三、各部门具体体检时间安排</w:t>
      </w:r>
      <w:r>
        <w:rPr>
          <w:rFonts w:hint="eastAsia" w:ascii="宋体" w:hAnsi="宋体" w:eastAsia="宋体" w:cs="宋体"/>
          <w:sz w:val="28"/>
          <w:szCs w:val="28"/>
        </w:rPr>
        <w:t xml:space="preserve">   </w:t>
      </w:r>
    </w:p>
    <w:tbl>
      <w:tblPr>
        <w:tblStyle w:val="7"/>
        <w:tblW w:w="89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8"/>
        <w:gridCol w:w="5838"/>
        <w:gridCol w:w="1454"/>
      </w:tblGrid>
      <w:tr w14:paraId="673D6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8" w:type="dxa"/>
          </w:tcPr>
          <w:p w14:paraId="7A00068C">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2025.6.16</w:t>
            </w:r>
          </w:p>
        </w:tc>
        <w:tc>
          <w:tcPr>
            <w:tcW w:w="5838" w:type="dxa"/>
          </w:tcPr>
          <w:p w14:paraId="62317E14">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lang w:val="en-US" w:eastAsia="zh-CN"/>
              </w:rPr>
            </w:pPr>
            <w:r>
              <w:rPr>
                <w:rFonts w:hint="eastAsia" w:ascii="宋体" w:hAnsi="宋体" w:eastAsia="宋体" w:cs="宋体"/>
                <w:sz w:val="28"/>
                <w:szCs w:val="28"/>
              </w:rPr>
              <w:t>机关处室、图书馆、继续教育学院</w:t>
            </w:r>
          </w:p>
        </w:tc>
        <w:tc>
          <w:tcPr>
            <w:tcW w:w="1454" w:type="dxa"/>
          </w:tcPr>
          <w:p w14:paraId="2B27429B">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兴安校区</w:t>
            </w:r>
          </w:p>
        </w:tc>
      </w:tr>
      <w:tr w14:paraId="54915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8" w:type="dxa"/>
          </w:tcPr>
          <w:p w14:paraId="4503855C">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2025.6.17</w:t>
            </w:r>
          </w:p>
        </w:tc>
        <w:tc>
          <w:tcPr>
            <w:tcW w:w="5838" w:type="dxa"/>
          </w:tcPr>
          <w:p w14:paraId="002590FA">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rPr>
              <w:t>影视艺术学院、文化</w:t>
            </w:r>
            <w:r>
              <w:rPr>
                <w:rFonts w:hint="eastAsia" w:ascii="宋体" w:hAnsi="宋体" w:eastAsia="宋体" w:cs="宋体"/>
                <w:sz w:val="28"/>
                <w:szCs w:val="28"/>
                <w:lang w:val="en-US" w:eastAsia="zh-CN"/>
              </w:rPr>
              <w:t>产业</w:t>
            </w:r>
            <w:r>
              <w:rPr>
                <w:rFonts w:hint="eastAsia" w:ascii="宋体" w:hAnsi="宋体" w:eastAsia="宋体" w:cs="宋体"/>
                <w:sz w:val="28"/>
                <w:szCs w:val="28"/>
              </w:rPr>
              <w:t>管理学院</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研究生院</w:t>
            </w:r>
          </w:p>
        </w:tc>
        <w:tc>
          <w:tcPr>
            <w:tcW w:w="1454" w:type="dxa"/>
          </w:tcPr>
          <w:p w14:paraId="13E5214C">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兴安校区</w:t>
            </w:r>
          </w:p>
        </w:tc>
      </w:tr>
      <w:tr w14:paraId="37BBA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8" w:type="dxa"/>
          </w:tcPr>
          <w:p w14:paraId="418A1C38">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2025.6.17</w:t>
            </w:r>
          </w:p>
        </w:tc>
        <w:tc>
          <w:tcPr>
            <w:tcW w:w="5838" w:type="dxa"/>
          </w:tcPr>
          <w:p w14:paraId="1EDBB132">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rPr>
              <w:t>美术与设计学院、马克思主义学院</w:t>
            </w:r>
          </w:p>
        </w:tc>
        <w:tc>
          <w:tcPr>
            <w:tcW w:w="1454" w:type="dxa"/>
          </w:tcPr>
          <w:p w14:paraId="4A2CD475">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兴安校区</w:t>
            </w:r>
          </w:p>
        </w:tc>
      </w:tr>
      <w:tr w14:paraId="7E9F7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8" w:type="dxa"/>
          </w:tcPr>
          <w:p w14:paraId="461E84C0">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2025.6.18</w:t>
            </w:r>
          </w:p>
        </w:tc>
        <w:tc>
          <w:tcPr>
            <w:tcW w:w="5838" w:type="dxa"/>
          </w:tcPr>
          <w:p w14:paraId="783FA38F">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rPr>
              <w:t>新闻传播学院、</w:t>
            </w:r>
            <w:r>
              <w:rPr>
                <w:rFonts w:hint="eastAsia" w:ascii="宋体" w:hAnsi="宋体" w:eastAsia="宋体" w:cs="宋体"/>
                <w:sz w:val="28"/>
                <w:szCs w:val="28"/>
                <w:lang w:val="en-US" w:eastAsia="zh-CN"/>
              </w:rPr>
              <w:t>人工智能学院</w:t>
            </w:r>
          </w:p>
        </w:tc>
        <w:tc>
          <w:tcPr>
            <w:tcW w:w="1454" w:type="dxa"/>
          </w:tcPr>
          <w:p w14:paraId="028629B3">
            <w:pPr>
              <w:pageBreakBefore w:val="0"/>
              <w:widowControl w:val="0"/>
              <w:kinsoku/>
              <w:wordWrap/>
              <w:overflowPunct/>
              <w:topLinePunct w:val="0"/>
              <w:autoSpaceDE/>
              <w:autoSpaceDN/>
              <w:bidi w:val="0"/>
              <w:adjustRightInd/>
              <w:snapToGrid/>
              <w:spacing w:line="500" w:lineRule="exact"/>
              <w:textAlignment w:val="auto"/>
              <w:rPr>
                <w:rFonts w:ascii="宋体" w:hAnsi="宋体" w:eastAsia="宋体" w:cs="宋体"/>
                <w:sz w:val="28"/>
                <w:szCs w:val="28"/>
              </w:rPr>
            </w:pPr>
            <w:r>
              <w:rPr>
                <w:rFonts w:hint="eastAsia" w:ascii="宋体" w:hAnsi="宋体" w:eastAsia="宋体" w:cs="宋体"/>
                <w:sz w:val="28"/>
                <w:szCs w:val="28"/>
              </w:rPr>
              <w:t>兴安校区</w:t>
            </w:r>
          </w:p>
        </w:tc>
      </w:tr>
      <w:tr w14:paraId="05640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8" w:type="dxa"/>
          </w:tcPr>
          <w:p w14:paraId="08957498">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2025.6.18</w:t>
            </w:r>
          </w:p>
        </w:tc>
        <w:tc>
          <w:tcPr>
            <w:tcW w:w="5838" w:type="dxa"/>
          </w:tcPr>
          <w:p w14:paraId="3E071444">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rPr>
              <w:t>数字艺术与动画学院、国际传播学院</w:t>
            </w:r>
          </w:p>
        </w:tc>
        <w:tc>
          <w:tcPr>
            <w:tcW w:w="1454" w:type="dxa"/>
          </w:tcPr>
          <w:p w14:paraId="2829CD5B">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兴安校区</w:t>
            </w:r>
          </w:p>
        </w:tc>
      </w:tr>
      <w:tr w14:paraId="53A4A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8" w:type="dxa"/>
            <w:vAlign w:val="top"/>
          </w:tcPr>
          <w:p w14:paraId="5D9E0AA4">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2025.6.19</w:t>
            </w:r>
          </w:p>
        </w:tc>
        <w:tc>
          <w:tcPr>
            <w:tcW w:w="5838" w:type="dxa"/>
            <w:vAlign w:val="top"/>
          </w:tcPr>
          <w:p w14:paraId="1FE51753">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驻鹿泉校区的处室、学院</w:t>
            </w:r>
          </w:p>
        </w:tc>
        <w:tc>
          <w:tcPr>
            <w:tcW w:w="1454" w:type="dxa"/>
            <w:vAlign w:val="top"/>
          </w:tcPr>
          <w:p w14:paraId="187351C4">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鹿泉校区</w:t>
            </w:r>
          </w:p>
        </w:tc>
      </w:tr>
      <w:tr w14:paraId="14FF7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8" w:type="dxa"/>
            <w:vAlign w:val="top"/>
          </w:tcPr>
          <w:p w14:paraId="0F411E36">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2025.6.20</w:t>
            </w:r>
          </w:p>
        </w:tc>
        <w:tc>
          <w:tcPr>
            <w:tcW w:w="5838" w:type="dxa"/>
            <w:vAlign w:val="top"/>
          </w:tcPr>
          <w:p w14:paraId="29EC757A">
            <w:pPr>
              <w:pageBreakBefore w:val="0"/>
              <w:widowControl w:val="0"/>
              <w:kinsoku/>
              <w:wordWrap/>
              <w:overflowPunct/>
              <w:topLinePunct w:val="0"/>
              <w:autoSpaceDE/>
              <w:autoSpaceDN/>
              <w:bidi w:val="0"/>
              <w:adjustRightInd/>
              <w:snapToGrid/>
              <w:spacing w:line="500" w:lineRule="exact"/>
              <w:textAlignment w:val="auto"/>
              <w:rPr>
                <w:rFonts w:hint="default"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驻警安校区的处室、学院</w:t>
            </w:r>
          </w:p>
        </w:tc>
        <w:tc>
          <w:tcPr>
            <w:tcW w:w="1454" w:type="dxa"/>
            <w:vAlign w:val="top"/>
          </w:tcPr>
          <w:p w14:paraId="4A0EC459">
            <w:pPr>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kern w:val="2"/>
                <w:sz w:val="28"/>
                <w:szCs w:val="28"/>
                <w:lang w:val="en-US" w:eastAsia="zh-CN" w:bidi="ar-SA"/>
              </w:rPr>
            </w:pPr>
            <w:r>
              <w:rPr>
                <w:rFonts w:hint="eastAsia" w:ascii="宋体" w:hAnsi="宋体" w:eastAsia="宋体" w:cs="宋体"/>
                <w:sz w:val="28"/>
                <w:szCs w:val="28"/>
              </w:rPr>
              <w:t>警安校区</w:t>
            </w:r>
          </w:p>
        </w:tc>
      </w:tr>
    </w:tbl>
    <w:p w14:paraId="71738D08">
      <w:pPr>
        <w:pageBreakBefore w:val="0"/>
        <w:widowControl w:val="0"/>
        <w:kinsoku/>
        <w:wordWrap/>
        <w:overflowPunct/>
        <w:topLinePunct w:val="0"/>
        <w:autoSpaceDE/>
        <w:autoSpaceDN/>
        <w:bidi w:val="0"/>
        <w:adjustRightInd/>
        <w:snapToGrid/>
        <w:spacing w:line="500" w:lineRule="exact"/>
        <w:jc w:val="left"/>
        <w:textAlignment w:val="auto"/>
        <w:rPr>
          <w:rFonts w:hint="eastAsia" w:ascii="宋体" w:hAnsi="宋体" w:eastAsia="宋体" w:cs="宋体"/>
          <w:sz w:val="28"/>
          <w:szCs w:val="28"/>
          <w:lang w:val="en-US" w:eastAsia="zh-CN"/>
        </w:rPr>
      </w:pPr>
    </w:p>
    <w:p w14:paraId="2E70F21D">
      <w:pPr>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sz w:val="28"/>
          <w:szCs w:val="28"/>
          <w:lang w:val="en-US" w:eastAsia="zh-CN"/>
        </w:rPr>
      </w:pPr>
      <w:r>
        <w:rPr>
          <w:rFonts w:hint="eastAsia" w:ascii="宋体" w:hAnsi="宋体" w:eastAsia="宋体" w:cs="宋体"/>
          <w:sz w:val="28"/>
          <w:szCs w:val="28"/>
          <w:lang w:val="en-US" w:eastAsia="zh-CN"/>
        </w:rPr>
        <w:t>注：因工作原因或者女性生理期影响不能按时间参与体检的人员可跨校区进行体检，或直接前往爱伯特体检中心进行体检，地址：河北省石家庄市栾城区青石线X063号，截止时间：</w:t>
      </w:r>
      <w:r>
        <w:rPr>
          <w:rFonts w:hint="eastAsia" w:ascii="宋体" w:hAnsi="宋体" w:eastAsia="宋体" w:cs="宋体"/>
          <w:sz w:val="28"/>
          <w:szCs w:val="28"/>
          <w:highlight w:val="none"/>
          <w:lang w:val="en-US" w:eastAsia="zh-CN"/>
        </w:rPr>
        <w:t>2025年7月30日。</w:t>
      </w:r>
    </w:p>
    <w:p w14:paraId="05C0534A">
      <w:pPr>
        <w:pageBreakBefore w:val="0"/>
        <w:widowControl w:val="0"/>
        <w:numPr>
          <w:ilvl w:val="0"/>
          <w:numId w:val="1"/>
        </w:numPr>
        <w:kinsoku/>
        <w:wordWrap/>
        <w:overflowPunct/>
        <w:topLinePunct w:val="0"/>
        <w:autoSpaceDE/>
        <w:autoSpaceDN/>
        <w:bidi w:val="0"/>
        <w:adjustRightInd/>
        <w:snapToGrid/>
        <w:spacing w:line="500" w:lineRule="exact"/>
        <w:ind w:firstLine="562" w:firstLineChars="200"/>
        <w:textAlignment w:val="auto"/>
        <w:rPr>
          <w:rStyle w:val="9"/>
          <w:rFonts w:hint="eastAsia" w:ascii="宋体" w:hAnsi="宋体" w:eastAsia="宋体" w:cs="宋体"/>
          <w:sz w:val="28"/>
          <w:szCs w:val="28"/>
        </w:rPr>
      </w:pPr>
      <w:r>
        <w:rPr>
          <w:rStyle w:val="9"/>
          <w:rFonts w:hint="eastAsia" w:ascii="宋体" w:hAnsi="宋体" w:eastAsia="宋体" w:cs="宋体"/>
          <w:sz w:val="28"/>
          <w:szCs w:val="28"/>
        </w:rPr>
        <w:t>体检项目介绍</w:t>
      </w:r>
    </w:p>
    <w:p w14:paraId="74F87D0B">
      <w:pPr>
        <w:pStyle w:val="2"/>
        <w:pageBreakBefore w:val="0"/>
        <w:widowControl w:val="0"/>
        <w:kinsoku/>
        <w:wordWrap/>
        <w:overflowPunct/>
        <w:topLinePunct w:val="0"/>
        <w:autoSpaceDE/>
        <w:autoSpaceDN/>
        <w:bidi w:val="0"/>
        <w:adjustRightInd/>
        <w:snapToGrid/>
        <w:spacing w:line="500" w:lineRule="exact"/>
        <w:ind w:left="0" w:leftChars="0" w:firstLine="560" w:firstLineChars="200"/>
        <w:textAlignment w:val="auto"/>
        <w:rPr>
          <w:rFonts w:hint="eastAsia" w:ascii="宋体" w:hAnsi="宋体" w:eastAsia="宋体" w:cs="宋体"/>
          <w:bCs w:val="0"/>
          <w:kern w:val="2"/>
          <w:sz w:val="28"/>
          <w:szCs w:val="28"/>
          <w:lang w:val="en-US" w:eastAsia="zh-CN" w:bidi="ar-SA"/>
        </w:rPr>
      </w:pPr>
      <w:r>
        <w:rPr>
          <w:rFonts w:hint="eastAsia" w:ascii="宋体" w:hAnsi="宋体" w:eastAsia="宋体" w:cs="宋体"/>
          <w:bCs w:val="0"/>
          <w:kern w:val="2"/>
          <w:sz w:val="28"/>
          <w:szCs w:val="28"/>
          <w:lang w:val="en-US" w:eastAsia="zh-CN" w:bidi="ar-SA"/>
        </w:rPr>
        <w:t>（见附件）</w:t>
      </w:r>
    </w:p>
    <w:p w14:paraId="7DE42708">
      <w:pPr>
        <w:pageBreakBefore w:val="0"/>
        <w:widowControl w:val="0"/>
        <w:numPr>
          <w:ilvl w:val="0"/>
          <w:numId w:val="1"/>
        </w:numPr>
        <w:kinsoku/>
        <w:wordWrap/>
        <w:overflowPunct/>
        <w:topLinePunct w:val="0"/>
        <w:autoSpaceDE/>
        <w:autoSpaceDN/>
        <w:bidi w:val="0"/>
        <w:adjustRightInd/>
        <w:snapToGrid/>
        <w:spacing w:line="500" w:lineRule="exact"/>
        <w:ind w:firstLine="562" w:firstLineChars="200"/>
        <w:textAlignment w:val="auto"/>
        <w:rPr>
          <w:rStyle w:val="9"/>
          <w:rFonts w:hint="eastAsia" w:ascii="宋体" w:hAnsi="宋体" w:eastAsia="宋体" w:cs="宋体"/>
          <w:sz w:val="28"/>
          <w:szCs w:val="28"/>
        </w:rPr>
      </w:pPr>
      <w:r>
        <w:rPr>
          <w:rStyle w:val="9"/>
          <w:rFonts w:hint="eastAsia" w:ascii="宋体" w:hAnsi="宋体" w:eastAsia="宋体" w:cs="宋体"/>
          <w:sz w:val="28"/>
          <w:szCs w:val="28"/>
        </w:rPr>
        <w:t>体检注意事项</w:t>
      </w:r>
    </w:p>
    <w:p w14:paraId="5693D75B">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highlight w:val="yellow"/>
        </w:rPr>
      </w:pPr>
      <w:r>
        <w:rPr>
          <w:rFonts w:hint="eastAsia" w:ascii="宋体" w:hAnsi="宋体" w:eastAsia="宋体" w:cs="宋体"/>
          <w:sz w:val="28"/>
          <w:szCs w:val="28"/>
        </w:rPr>
        <w:t>1</w:t>
      </w:r>
      <w:r>
        <w:rPr>
          <w:rFonts w:hint="eastAsia" w:ascii="宋体" w:hAnsi="宋体" w:eastAsia="宋体" w:cs="宋体"/>
          <w:sz w:val="28"/>
          <w:szCs w:val="28"/>
          <w:lang w:val="en-US" w:eastAsia="zh-CN"/>
        </w:rPr>
        <w:t>.</w:t>
      </w:r>
      <w:r>
        <w:rPr>
          <w:rFonts w:hint="eastAsia" w:ascii="宋体" w:hAnsi="宋体" w:eastAsia="宋体" w:cs="宋体"/>
          <w:sz w:val="28"/>
          <w:szCs w:val="28"/>
        </w:rPr>
        <w:t>体检前3日保持正常清淡饮食，体检前一天不要暴饮暴食，勿饮酒</w:t>
      </w:r>
      <w:r>
        <w:rPr>
          <w:rFonts w:hint="eastAsia" w:ascii="宋体" w:hAnsi="宋体" w:eastAsia="宋体" w:cs="宋体"/>
          <w:sz w:val="28"/>
          <w:szCs w:val="28"/>
          <w:lang w:eastAsia="zh-CN"/>
        </w:rPr>
        <w:t>，</w:t>
      </w:r>
      <w:r>
        <w:rPr>
          <w:rFonts w:hint="eastAsia" w:ascii="宋体" w:hAnsi="宋体" w:eastAsia="宋体" w:cs="宋体"/>
          <w:sz w:val="28"/>
          <w:szCs w:val="28"/>
        </w:rPr>
        <w:t>受检前需要禁食10个小时。</w:t>
      </w:r>
      <w:r>
        <w:rPr>
          <w:rFonts w:hint="eastAsia" w:ascii="宋体" w:hAnsi="宋体" w:eastAsia="宋体" w:cs="宋体"/>
          <w:b/>
          <w:bCs/>
          <w:sz w:val="28"/>
          <w:szCs w:val="28"/>
          <w:highlight w:val="none"/>
        </w:rPr>
        <w:t>须空腹体检</w:t>
      </w:r>
      <w:r>
        <w:rPr>
          <w:rFonts w:hint="eastAsia" w:ascii="宋体" w:hAnsi="宋体" w:eastAsia="宋体" w:cs="宋体"/>
          <w:b/>
          <w:bCs/>
          <w:sz w:val="28"/>
          <w:szCs w:val="28"/>
          <w:highlight w:val="none"/>
          <w:lang w:val="en-US" w:eastAsia="zh-CN"/>
        </w:rPr>
        <w:t>项目：采血项目、腹部彩超，其余项目可全天检测。</w:t>
      </w:r>
    </w:p>
    <w:p w14:paraId="717E15B5">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2</w:t>
      </w:r>
      <w:r>
        <w:rPr>
          <w:rFonts w:hint="eastAsia" w:ascii="宋体" w:hAnsi="宋体" w:eastAsia="宋体" w:cs="宋体"/>
          <w:sz w:val="28"/>
          <w:szCs w:val="28"/>
          <w:lang w:val="en-US" w:eastAsia="zh-CN"/>
        </w:rPr>
        <w:t>.</w:t>
      </w:r>
      <w:r>
        <w:rPr>
          <w:rFonts w:hint="eastAsia" w:ascii="宋体" w:hAnsi="宋体" w:eastAsia="宋体" w:cs="宋体"/>
          <w:sz w:val="28"/>
          <w:szCs w:val="28"/>
        </w:rPr>
        <w:t>如有慢性疾病患者如糖尿病、高血压、心脏病、哮喘等，在体检时要带好平日服用的药物，查完空腹项目就可以正常服药</w:t>
      </w:r>
      <w:r>
        <w:rPr>
          <w:rFonts w:hint="eastAsia" w:ascii="宋体" w:hAnsi="宋体" w:eastAsia="宋体" w:cs="宋体"/>
          <w:sz w:val="28"/>
          <w:szCs w:val="28"/>
          <w:lang w:eastAsia="zh-CN"/>
        </w:rPr>
        <w:t>。</w:t>
      </w:r>
    </w:p>
    <w:p w14:paraId="37BD1470">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3</w:t>
      </w:r>
      <w:r>
        <w:rPr>
          <w:rFonts w:hint="eastAsia" w:ascii="宋体" w:hAnsi="宋体" w:eastAsia="宋体" w:cs="宋体"/>
          <w:sz w:val="28"/>
          <w:szCs w:val="28"/>
          <w:lang w:val="en-US" w:eastAsia="zh-CN"/>
        </w:rPr>
        <w:t>.</w:t>
      </w:r>
      <w:r>
        <w:rPr>
          <w:rFonts w:hint="eastAsia" w:ascii="宋体" w:hAnsi="宋体" w:eastAsia="宋体" w:cs="宋体"/>
          <w:sz w:val="28"/>
          <w:szCs w:val="28"/>
        </w:rPr>
        <w:t>受检者应穿宽松、休闲的衣服，勿穿有扣子或金属饰物的内衣,女士不要穿连裤袜。</w:t>
      </w:r>
    </w:p>
    <w:p w14:paraId="1984C0A1">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4</w:t>
      </w:r>
      <w:r>
        <w:rPr>
          <w:rFonts w:hint="eastAsia" w:ascii="宋体" w:hAnsi="宋体" w:eastAsia="宋体" w:cs="宋体"/>
          <w:sz w:val="28"/>
          <w:szCs w:val="28"/>
          <w:lang w:val="en-US" w:eastAsia="zh-CN"/>
        </w:rPr>
        <w:t>.建议</w:t>
      </w:r>
      <w:r>
        <w:rPr>
          <w:rFonts w:hint="eastAsia" w:ascii="宋体" w:hAnsi="宋体" w:eastAsia="宋体" w:cs="宋体"/>
          <w:sz w:val="28"/>
          <w:szCs w:val="28"/>
        </w:rPr>
        <w:t>未婚女士告知检查医生自己属未婚，妇科超声只能选择经腹部检查。女性受检者经期不要做尿</w:t>
      </w:r>
      <w:r>
        <w:rPr>
          <w:rFonts w:hint="eastAsia" w:ascii="宋体" w:hAnsi="宋体" w:eastAsia="宋体" w:cs="宋体"/>
          <w:sz w:val="28"/>
          <w:szCs w:val="28"/>
          <w:lang w:val="en-US" w:eastAsia="zh-CN"/>
        </w:rPr>
        <w:t>常规检查</w:t>
      </w:r>
      <w:r>
        <w:rPr>
          <w:rFonts w:hint="eastAsia" w:ascii="宋体" w:hAnsi="宋体" w:eastAsia="宋体" w:cs="宋体"/>
          <w:sz w:val="28"/>
          <w:szCs w:val="28"/>
          <w:lang w:eastAsia="zh-CN"/>
        </w:rPr>
        <w:t>，</w:t>
      </w:r>
      <w:r>
        <w:rPr>
          <w:rFonts w:hint="eastAsia" w:ascii="宋体" w:hAnsi="宋体" w:eastAsia="宋体" w:cs="宋体"/>
          <w:sz w:val="28"/>
          <w:szCs w:val="28"/>
        </w:rPr>
        <w:t>经期后</w:t>
      </w:r>
      <w:r>
        <w:rPr>
          <w:rFonts w:hint="eastAsia" w:ascii="宋体" w:hAnsi="宋体" w:eastAsia="宋体" w:cs="宋体"/>
          <w:sz w:val="28"/>
          <w:szCs w:val="28"/>
          <w:lang w:val="en-US" w:eastAsia="zh-CN"/>
        </w:rPr>
        <w:t>可</w:t>
      </w:r>
      <w:r>
        <w:rPr>
          <w:rFonts w:hint="eastAsia" w:ascii="宋体" w:hAnsi="宋体" w:eastAsia="宋体" w:cs="宋体"/>
          <w:sz w:val="28"/>
          <w:szCs w:val="28"/>
        </w:rPr>
        <w:t>补查。</w:t>
      </w:r>
    </w:p>
    <w:p w14:paraId="43E548E1">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rPr>
        <w:t>5</w:t>
      </w:r>
      <w:r>
        <w:rPr>
          <w:rFonts w:hint="eastAsia" w:ascii="宋体" w:hAnsi="宋体" w:eastAsia="宋体" w:cs="宋体"/>
          <w:sz w:val="28"/>
          <w:szCs w:val="28"/>
          <w:highlight w:val="none"/>
          <w:lang w:val="en-US" w:eastAsia="zh-CN"/>
        </w:rPr>
        <w:t>.</w:t>
      </w:r>
      <w:r>
        <w:rPr>
          <w:rFonts w:hint="eastAsia" w:ascii="宋体" w:hAnsi="宋体" w:eastAsia="宋体" w:cs="宋体"/>
          <w:b w:val="0"/>
          <w:bCs w:val="0"/>
          <w:sz w:val="28"/>
          <w:szCs w:val="28"/>
          <w:highlight w:val="none"/>
        </w:rPr>
        <w:t>乙肝为自愿检查项目，可选择放弃，</w:t>
      </w:r>
      <w:r>
        <w:rPr>
          <w:rFonts w:hint="eastAsia" w:ascii="宋体" w:hAnsi="宋体" w:eastAsia="宋体" w:cs="宋体"/>
          <w:sz w:val="28"/>
          <w:szCs w:val="28"/>
          <w:highlight w:val="none"/>
        </w:rPr>
        <w:t>受检该项目人员需要签订知情同意书。</w:t>
      </w:r>
    </w:p>
    <w:p w14:paraId="1B27035A">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6</w:t>
      </w:r>
      <w:r>
        <w:rPr>
          <w:rFonts w:hint="eastAsia" w:ascii="宋体" w:hAnsi="宋体" w:eastAsia="宋体" w:cs="宋体"/>
          <w:sz w:val="28"/>
          <w:szCs w:val="28"/>
          <w:lang w:val="en-US" w:eastAsia="zh-CN"/>
        </w:rPr>
        <w:t>.</w:t>
      </w:r>
      <w:r>
        <w:rPr>
          <w:rFonts w:hint="eastAsia" w:ascii="宋体" w:hAnsi="宋体" w:eastAsia="宋体" w:cs="宋体"/>
          <w:sz w:val="28"/>
          <w:szCs w:val="28"/>
        </w:rPr>
        <w:t>计划6个月内怀孕的男士、女士勿做X线检查，已受孕的女士勿做X线检查及妇科检查。</w:t>
      </w:r>
    </w:p>
    <w:p w14:paraId="261C53B5">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rPr>
        <w:t>7</w:t>
      </w:r>
      <w:r>
        <w:rPr>
          <w:rFonts w:hint="eastAsia" w:ascii="宋体" w:hAnsi="宋体" w:eastAsia="宋体" w:cs="宋体"/>
          <w:sz w:val="28"/>
          <w:szCs w:val="28"/>
          <w:lang w:val="en-US" w:eastAsia="zh-CN"/>
        </w:rPr>
        <w:t>.</w:t>
      </w:r>
      <w:r>
        <w:rPr>
          <w:rFonts w:hint="eastAsia" w:ascii="宋体" w:hAnsi="宋体" w:eastAsia="宋体" w:cs="宋体"/>
          <w:sz w:val="28"/>
          <w:szCs w:val="28"/>
        </w:rPr>
        <w:t>体检前3天至一周请勿做剧烈运动。</w:t>
      </w:r>
    </w:p>
    <w:p w14:paraId="382BE1BA">
      <w:pPr>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宋体" w:hAnsi="宋体" w:eastAsia="宋体" w:cs="宋体"/>
          <w:sz w:val="28"/>
          <w:szCs w:val="28"/>
          <w:lang w:eastAsia="zh-CN"/>
        </w:rPr>
      </w:pPr>
      <w:r>
        <w:rPr>
          <w:rFonts w:hint="eastAsia" w:ascii="宋体" w:hAnsi="宋体" w:eastAsia="宋体" w:cs="宋体"/>
          <w:b/>
          <w:bCs/>
          <w:sz w:val="28"/>
          <w:szCs w:val="28"/>
        </w:rPr>
        <w:t>8</w:t>
      </w:r>
      <w:r>
        <w:rPr>
          <w:rFonts w:hint="eastAsia" w:ascii="宋体" w:hAnsi="宋体" w:eastAsia="宋体" w:cs="宋体"/>
          <w:b/>
          <w:bCs/>
          <w:sz w:val="28"/>
          <w:szCs w:val="28"/>
          <w:lang w:val="en-US" w:eastAsia="zh-CN"/>
        </w:rPr>
        <w:t>.</w:t>
      </w:r>
      <w:r>
        <w:rPr>
          <w:rFonts w:hint="eastAsia" w:ascii="宋体" w:hAnsi="宋体" w:eastAsia="宋体" w:cs="宋体"/>
          <w:b/>
          <w:bCs/>
          <w:sz w:val="28"/>
          <w:szCs w:val="28"/>
        </w:rPr>
        <w:t>待全部检查项目完毕后，请将导引单交回领表处。</w:t>
      </w:r>
    </w:p>
    <w:p w14:paraId="0D2E5597">
      <w:pPr>
        <w:pageBreakBefore w:val="0"/>
        <w:widowControl w:val="0"/>
        <w:kinsoku/>
        <w:wordWrap/>
        <w:overflowPunct/>
        <w:topLinePunct w:val="0"/>
        <w:autoSpaceDE/>
        <w:autoSpaceDN/>
        <w:bidi w:val="0"/>
        <w:adjustRightInd/>
        <w:snapToGrid/>
        <w:spacing w:line="500" w:lineRule="exact"/>
        <w:ind w:firstLine="560" w:firstLineChars="200"/>
        <w:textAlignment w:val="auto"/>
        <w:rPr>
          <w:rFonts w:ascii="宋体" w:hAnsi="宋体" w:eastAsia="宋体" w:cs="宋体"/>
          <w:sz w:val="28"/>
          <w:szCs w:val="28"/>
        </w:rPr>
      </w:pPr>
      <w:r>
        <w:rPr>
          <w:rFonts w:hint="eastAsia" w:ascii="宋体" w:hAnsi="宋体" w:eastAsia="宋体" w:cs="宋体"/>
          <w:sz w:val="28"/>
          <w:szCs w:val="28"/>
        </w:rPr>
        <w:t>9</w:t>
      </w:r>
      <w:r>
        <w:rPr>
          <w:rFonts w:hint="eastAsia" w:ascii="宋体" w:hAnsi="宋体" w:eastAsia="宋体" w:cs="宋体"/>
          <w:sz w:val="28"/>
          <w:szCs w:val="28"/>
          <w:lang w:val="en-US" w:eastAsia="zh-CN"/>
        </w:rPr>
        <w:t>.</w:t>
      </w:r>
      <w:r>
        <w:rPr>
          <w:rFonts w:hint="eastAsia" w:ascii="宋体" w:hAnsi="宋体" w:eastAsia="宋体" w:cs="宋体"/>
          <w:sz w:val="28"/>
          <w:szCs w:val="28"/>
        </w:rPr>
        <w:t>严禁替代检查，一经发现将追究相关人员责任。</w:t>
      </w:r>
    </w:p>
    <w:p w14:paraId="023D2C26">
      <w:pPr>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10</w:t>
      </w:r>
      <w:r>
        <w:rPr>
          <w:rFonts w:hint="eastAsia" w:ascii="宋体" w:hAnsi="宋体" w:eastAsia="宋体" w:cs="宋体"/>
          <w:sz w:val="28"/>
          <w:szCs w:val="28"/>
          <w:lang w:val="en-US" w:eastAsia="zh-CN"/>
        </w:rPr>
        <w:t>.体检时做到</w:t>
      </w:r>
      <w:r>
        <w:rPr>
          <w:rFonts w:hint="eastAsia" w:ascii="宋体" w:hAnsi="宋体" w:eastAsia="宋体" w:cs="宋体"/>
          <w:sz w:val="28"/>
          <w:szCs w:val="28"/>
        </w:rPr>
        <w:t>有序排队</w:t>
      </w:r>
      <w:r>
        <w:rPr>
          <w:rFonts w:hint="eastAsia" w:ascii="宋体" w:hAnsi="宋体" w:eastAsia="宋体" w:cs="宋体"/>
          <w:sz w:val="28"/>
          <w:szCs w:val="28"/>
          <w:lang w:val="en-US" w:eastAsia="zh-CN"/>
        </w:rPr>
        <w:t>不拥挤，注意自身</w:t>
      </w:r>
      <w:r>
        <w:rPr>
          <w:rFonts w:hint="eastAsia" w:ascii="宋体" w:hAnsi="宋体" w:eastAsia="宋体" w:cs="宋体"/>
          <w:sz w:val="28"/>
          <w:szCs w:val="28"/>
        </w:rPr>
        <w:t>安全。</w:t>
      </w:r>
    </w:p>
    <w:p w14:paraId="6354A7A6">
      <w:pPr>
        <w:pStyle w:val="2"/>
        <w:ind w:left="0" w:leftChars="0" w:firstLine="0" w:firstLineChars="0"/>
        <w:rPr>
          <w:rFonts w:hint="default" w:eastAsia="宋体"/>
          <w:sz w:val="28"/>
          <w:szCs w:val="28"/>
          <w:lang w:val="en-US" w:eastAsia="zh-CN"/>
        </w:rPr>
      </w:pPr>
      <w:r>
        <w:rPr>
          <w:rFonts w:hint="eastAsia" w:eastAsia="宋体" w:cs="宋体"/>
          <w:sz w:val="28"/>
          <w:szCs w:val="28"/>
          <w:lang w:val="en-US" w:eastAsia="zh-CN"/>
        </w:rPr>
        <w:t xml:space="preserve">    11.体检后在</w:t>
      </w:r>
      <w:r>
        <w:rPr>
          <w:rFonts w:hint="eastAsia" w:eastAsia="宋体" w:cs="宋体"/>
          <w:sz w:val="28"/>
          <w:szCs w:val="28"/>
          <w:u w:val="none"/>
          <w:lang w:val="en-US" w:eastAsia="zh-CN"/>
        </w:rPr>
        <w:t>领体检表处</w:t>
      </w:r>
      <w:r>
        <w:rPr>
          <w:rFonts w:hint="eastAsia" w:eastAsia="宋体" w:cs="宋体"/>
          <w:sz w:val="28"/>
          <w:szCs w:val="28"/>
          <w:lang w:val="en-US" w:eastAsia="zh-CN"/>
        </w:rPr>
        <w:t>领取早餐。</w:t>
      </w:r>
    </w:p>
    <w:p w14:paraId="646CFE43">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eastAsia="宋体" w:cs="宋体"/>
          <w:b w:val="0"/>
          <w:bCs w:val="0"/>
          <w:sz w:val="28"/>
          <w:szCs w:val="28"/>
          <w:lang w:val="en-US" w:eastAsia="zh-CN"/>
        </w:rPr>
      </w:pPr>
    </w:p>
    <w:p w14:paraId="2B377A4C">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eastAsia="宋体"/>
          <w:b w:val="0"/>
          <w:bCs w:val="0"/>
          <w:sz w:val="28"/>
          <w:szCs w:val="28"/>
          <w:lang w:val="en-US" w:eastAsia="zh-CN"/>
        </w:rPr>
      </w:pPr>
      <w:r>
        <w:rPr>
          <w:rFonts w:hint="eastAsia" w:eastAsia="宋体" w:cs="宋体"/>
          <w:b w:val="0"/>
          <w:bCs w:val="0"/>
          <w:sz w:val="28"/>
          <w:szCs w:val="28"/>
          <w:lang w:val="en-US" w:eastAsia="zh-CN"/>
        </w:rPr>
        <w:t>附件：1.四十五</w:t>
      </w:r>
      <w:r>
        <w:rPr>
          <w:rFonts w:hint="eastAsia"/>
          <w:b w:val="0"/>
          <w:bCs w:val="0"/>
          <w:sz w:val="28"/>
          <w:szCs w:val="28"/>
          <w:lang w:val="en-US" w:eastAsia="zh-CN"/>
        </w:rPr>
        <w:t>周岁以下教职工体检项目</w:t>
      </w:r>
    </w:p>
    <w:p w14:paraId="53B01FCC">
      <w:pPr>
        <w:pageBreakBefore w:val="0"/>
        <w:widowControl w:val="0"/>
        <w:kinsoku/>
        <w:wordWrap/>
        <w:overflowPunct/>
        <w:topLinePunct w:val="0"/>
        <w:autoSpaceDE/>
        <w:autoSpaceDN/>
        <w:bidi w:val="0"/>
        <w:adjustRightInd/>
        <w:snapToGrid/>
        <w:spacing w:line="500" w:lineRule="exact"/>
        <w:ind w:firstLine="1400" w:firstLineChars="500"/>
        <w:textAlignment w:val="auto"/>
        <w:rPr>
          <w:rFonts w:hint="eastAsia"/>
          <w:b w:val="0"/>
          <w:bCs w:val="0"/>
          <w:sz w:val="28"/>
          <w:szCs w:val="28"/>
          <w:lang w:val="en-US" w:eastAsia="zh-CN"/>
        </w:rPr>
      </w:pPr>
      <w:r>
        <w:rPr>
          <w:rFonts w:hint="eastAsia" w:eastAsia="宋体" w:cs="宋体"/>
          <w:b w:val="0"/>
          <w:bCs w:val="0"/>
          <w:sz w:val="28"/>
          <w:szCs w:val="28"/>
          <w:lang w:val="en-US" w:eastAsia="zh-CN"/>
        </w:rPr>
        <w:t>2.四十五</w:t>
      </w:r>
      <w:r>
        <w:rPr>
          <w:rFonts w:hint="eastAsia"/>
          <w:b w:val="0"/>
          <w:bCs w:val="0"/>
          <w:sz w:val="28"/>
          <w:szCs w:val="28"/>
          <w:lang w:val="en-US" w:eastAsia="zh-CN"/>
        </w:rPr>
        <w:t>周岁</w:t>
      </w:r>
      <w:r>
        <w:rPr>
          <w:rFonts w:hint="eastAsia"/>
          <w:b w:val="0"/>
          <w:bCs w:val="0"/>
          <w:color w:val="auto"/>
          <w:sz w:val="28"/>
          <w:szCs w:val="28"/>
          <w:highlight w:val="none"/>
          <w:lang w:val="en-US" w:eastAsia="zh-CN"/>
        </w:rPr>
        <w:t>及</w:t>
      </w:r>
      <w:r>
        <w:rPr>
          <w:rFonts w:hint="eastAsia"/>
          <w:b w:val="0"/>
          <w:bCs w:val="0"/>
          <w:sz w:val="28"/>
          <w:szCs w:val="28"/>
          <w:lang w:val="en-US" w:eastAsia="zh-CN"/>
        </w:rPr>
        <w:t>以上教职工体检项目</w:t>
      </w:r>
    </w:p>
    <w:p w14:paraId="186FD254">
      <w:pPr>
        <w:pageBreakBefore w:val="0"/>
        <w:widowControl w:val="0"/>
        <w:kinsoku/>
        <w:wordWrap/>
        <w:overflowPunct/>
        <w:topLinePunct w:val="0"/>
        <w:autoSpaceDE/>
        <w:autoSpaceDN/>
        <w:bidi w:val="0"/>
        <w:adjustRightInd/>
        <w:snapToGrid/>
        <w:spacing w:line="500" w:lineRule="exact"/>
        <w:textAlignment w:val="auto"/>
        <w:rPr>
          <w:rFonts w:hint="eastAsia" w:eastAsia="宋体" w:cs="宋体"/>
          <w:sz w:val="28"/>
          <w:szCs w:val="28"/>
          <w:lang w:val="en-US" w:eastAsia="zh-CN"/>
        </w:rPr>
      </w:pPr>
    </w:p>
    <w:p w14:paraId="30AE07AA">
      <w:pPr>
        <w:pStyle w:val="2"/>
        <w:pageBreakBefore w:val="0"/>
        <w:widowControl w:val="0"/>
        <w:kinsoku/>
        <w:wordWrap/>
        <w:overflowPunct/>
        <w:topLinePunct w:val="0"/>
        <w:autoSpaceDE/>
        <w:autoSpaceDN/>
        <w:bidi w:val="0"/>
        <w:adjustRightInd/>
        <w:snapToGrid/>
        <w:spacing w:line="500" w:lineRule="exact"/>
        <w:textAlignment w:val="auto"/>
        <w:rPr>
          <w:rFonts w:hint="eastAsia" w:eastAsia="宋体" w:cs="宋体"/>
          <w:sz w:val="28"/>
          <w:szCs w:val="28"/>
          <w:lang w:val="en-US" w:eastAsia="zh-CN"/>
        </w:rPr>
      </w:pPr>
      <w:r>
        <w:rPr>
          <w:rFonts w:hint="eastAsia" w:eastAsia="宋体" w:cs="宋体"/>
          <w:sz w:val="28"/>
          <w:szCs w:val="28"/>
          <w:lang w:val="en-US" w:eastAsia="zh-CN"/>
        </w:rPr>
        <w:t xml:space="preserve">                                   </w:t>
      </w:r>
    </w:p>
    <w:p w14:paraId="5D1795B0">
      <w:pPr>
        <w:pStyle w:val="2"/>
        <w:pageBreakBefore w:val="0"/>
        <w:widowControl w:val="0"/>
        <w:kinsoku/>
        <w:wordWrap/>
        <w:overflowPunct/>
        <w:topLinePunct w:val="0"/>
        <w:autoSpaceDE/>
        <w:autoSpaceDN/>
        <w:bidi w:val="0"/>
        <w:adjustRightInd/>
        <w:snapToGrid/>
        <w:spacing w:line="500" w:lineRule="exact"/>
        <w:textAlignment w:val="auto"/>
        <w:rPr>
          <w:rFonts w:hint="eastAsia" w:eastAsia="宋体" w:cs="宋体"/>
          <w:sz w:val="28"/>
          <w:szCs w:val="28"/>
          <w:lang w:val="en-US" w:eastAsia="zh-CN"/>
        </w:rPr>
      </w:pPr>
      <w:r>
        <w:rPr>
          <w:rFonts w:hint="eastAsia" w:eastAsia="宋体" w:cs="宋体"/>
          <w:sz w:val="28"/>
          <w:szCs w:val="28"/>
          <w:lang w:val="en-US" w:eastAsia="zh-CN"/>
        </w:rPr>
        <w:t xml:space="preserve">                                     校工会</w:t>
      </w:r>
    </w:p>
    <w:p w14:paraId="0FCC3DB1">
      <w:pPr>
        <w:pageBreakBefore w:val="0"/>
        <w:widowControl w:val="0"/>
        <w:kinsoku/>
        <w:wordWrap/>
        <w:overflowPunct/>
        <w:topLinePunct w:val="0"/>
        <w:autoSpaceDE/>
        <w:autoSpaceDN/>
        <w:bidi w:val="0"/>
        <w:adjustRightInd/>
        <w:snapToGrid/>
        <w:spacing w:line="500" w:lineRule="exact"/>
        <w:ind w:firstLine="5880" w:firstLineChars="2100"/>
        <w:textAlignment w:val="auto"/>
        <w:rPr>
          <w:rFonts w:hint="eastAsia" w:eastAsia="宋体" w:cs="宋体"/>
          <w:sz w:val="28"/>
          <w:szCs w:val="28"/>
          <w:lang w:val="en-US" w:eastAsia="zh-CN"/>
        </w:rPr>
      </w:pPr>
      <w:r>
        <w:rPr>
          <w:rFonts w:hint="eastAsia" w:eastAsia="宋体" w:cs="宋体"/>
          <w:sz w:val="28"/>
          <w:szCs w:val="28"/>
          <w:lang w:val="en-US" w:eastAsia="zh-CN"/>
        </w:rPr>
        <w:t>2025年6月13日</w:t>
      </w:r>
    </w:p>
    <w:p w14:paraId="23C206D8">
      <w:pPr>
        <w:pageBreakBefore w:val="0"/>
        <w:widowControl w:val="0"/>
        <w:kinsoku/>
        <w:wordWrap/>
        <w:overflowPunct/>
        <w:topLinePunct w:val="0"/>
        <w:autoSpaceDE/>
        <w:autoSpaceDN/>
        <w:bidi w:val="0"/>
        <w:adjustRightInd/>
        <w:snapToGrid/>
        <w:spacing w:line="500" w:lineRule="exact"/>
        <w:textAlignment w:val="auto"/>
        <w:rPr>
          <w:rFonts w:hint="eastAsia" w:eastAsia="宋体" w:cs="宋体"/>
          <w:sz w:val="30"/>
          <w:szCs w:val="30"/>
          <w:lang w:val="en-US" w:eastAsia="zh-CN"/>
        </w:rPr>
      </w:pPr>
    </w:p>
    <w:p w14:paraId="0472423B">
      <w:pPr>
        <w:pageBreakBefore w:val="0"/>
        <w:widowControl w:val="0"/>
        <w:kinsoku/>
        <w:wordWrap/>
        <w:overflowPunct/>
        <w:topLinePunct w:val="0"/>
        <w:autoSpaceDE/>
        <w:autoSpaceDN/>
        <w:bidi w:val="0"/>
        <w:adjustRightInd/>
        <w:snapToGrid/>
        <w:spacing w:line="500" w:lineRule="exact"/>
        <w:textAlignment w:val="auto"/>
        <w:rPr>
          <w:rFonts w:hint="eastAsia" w:eastAsia="宋体" w:cs="宋体"/>
          <w:sz w:val="30"/>
          <w:szCs w:val="30"/>
          <w:lang w:val="en-US" w:eastAsia="zh-CN"/>
        </w:rPr>
      </w:pPr>
    </w:p>
    <w:p w14:paraId="2D272E02">
      <w:pPr>
        <w:pageBreakBefore w:val="0"/>
        <w:widowControl w:val="0"/>
        <w:kinsoku/>
        <w:wordWrap/>
        <w:overflowPunct/>
        <w:topLinePunct w:val="0"/>
        <w:autoSpaceDE/>
        <w:autoSpaceDN/>
        <w:bidi w:val="0"/>
        <w:adjustRightInd/>
        <w:snapToGrid/>
        <w:spacing w:line="500" w:lineRule="exact"/>
        <w:textAlignment w:val="auto"/>
        <w:rPr>
          <w:rFonts w:hint="eastAsia" w:eastAsia="宋体" w:cs="宋体"/>
          <w:sz w:val="30"/>
          <w:szCs w:val="30"/>
          <w:lang w:val="en-US" w:eastAsia="zh-CN"/>
        </w:rPr>
      </w:pPr>
      <w:r>
        <w:rPr>
          <w:rFonts w:hint="eastAsia" w:eastAsia="宋体" w:cs="宋体"/>
          <w:sz w:val="30"/>
          <w:szCs w:val="30"/>
          <w:lang w:val="en-US" w:eastAsia="zh-CN"/>
        </w:rPr>
        <w:t xml:space="preserve">附件1： </w:t>
      </w:r>
    </w:p>
    <w:p w14:paraId="312974C3">
      <w:pPr>
        <w:pageBreakBefore w:val="0"/>
        <w:widowControl w:val="0"/>
        <w:kinsoku/>
        <w:wordWrap/>
        <w:overflowPunct/>
        <w:topLinePunct w:val="0"/>
        <w:autoSpaceDE/>
        <w:autoSpaceDN/>
        <w:bidi w:val="0"/>
        <w:adjustRightInd/>
        <w:snapToGrid/>
        <w:spacing w:line="500" w:lineRule="exact"/>
        <w:textAlignment w:val="auto"/>
        <w:rPr>
          <w:rFonts w:hint="eastAsia" w:eastAsia="宋体" w:cs="宋体"/>
          <w:sz w:val="30"/>
          <w:szCs w:val="30"/>
          <w:lang w:val="en-US" w:eastAsia="zh-CN"/>
        </w:rPr>
      </w:pPr>
    </w:p>
    <w:tbl>
      <w:tblPr>
        <w:tblStyle w:val="6"/>
        <w:tblW w:w="8480" w:type="dxa"/>
        <w:jc w:val="center"/>
        <w:tblLayout w:type="fixed"/>
        <w:tblCellMar>
          <w:top w:w="0" w:type="dxa"/>
          <w:left w:w="108" w:type="dxa"/>
          <w:bottom w:w="0" w:type="dxa"/>
          <w:right w:w="108" w:type="dxa"/>
        </w:tblCellMar>
      </w:tblPr>
      <w:tblGrid>
        <w:gridCol w:w="1981"/>
        <w:gridCol w:w="6499"/>
      </w:tblGrid>
      <w:tr w14:paraId="69C41E93">
        <w:tblPrEx>
          <w:tblCellMar>
            <w:top w:w="0" w:type="dxa"/>
            <w:left w:w="108" w:type="dxa"/>
            <w:bottom w:w="0" w:type="dxa"/>
            <w:right w:w="108" w:type="dxa"/>
          </w:tblCellMar>
        </w:tblPrEx>
        <w:trPr>
          <w:trHeight w:val="389" w:hRule="atLeast"/>
          <w:jc w:val="center"/>
        </w:trPr>
        <w:tc>
          <w:tcPr>
            <w:tcW w:w="84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A4EBA">
            <w:pPr>
              <w:widowControl/>
              <w:jc w:val="center"/>
              <w:textAlignment w:val="bottom"/>
              <w:rPr>
                <w:rFonts w:hint="default" w:ascii="等线" w:hAnsi="等线" w:eastAsia="宋体" w:cs="等线"/>
                <w:color w:val="000000"/>
                <w:sz w:val="24"/>
                <w:szCs w:val="24"/>
                <w:lang w:val="en-US" w:eastAsia="zh-CN"/>
              </w:rPr>
            </w:pPr>
            <w:r>
              <w:rPr>
                <w:rFonts w:hint="eastAsia" w:ascii="宋体" w:hAnsi="宋体" w:eastAsia="宋体" w:cs="宋体"/>
                <w:b/>
                <w:bCs/>
                <w:color w:val="000000"/>
                <w:kern w:val="0"/>
                <w:sz w:val="24"/>
                <w:szCs w:val="24"/>
              </w:rPr>
              <w:t>45周岁以下人员</w:t>
            </w:r>
            <w:r>
              <w:rPr>
                <w:rFonts w:hint="eastAsia" w:ascii="宋体" w:hAnsi="宋体" w:eastAsia="宋体" w:cs="宋体"/>
                <w:b/>
                <w:bCs/>
                <w:color w:val="000000"/>
                <w:kern w:val="0"/>
                <w:sz w:val="24"/>
                <w:szCs w:val="24"/>
                <w:lang w:val="en-US" w:eastAsia="zh-CN"/>
              </w:rPr>
              <w:t>体检项目</w:t>
            </w:r>
          </w:p>
        </w:tc>
      </w:tr>
      <w:tr w14:paraId="51C9D433">
        <w:tblPrEx>
          <w:tblCellMar>
            <w:top w:w="0" w:type="dxa"/>
            <w:left w:w="108" w:type="dxa"/>
            <w:bottom w:w="0" w:type="dxa"/>
            <w:right w:w="108" w:type="dxa"/>
          </w:tblCellMar>
        </w:tblPrEx>
        <w:trPr>
          <w:trHeight w:val="389" w:hRule="atLeast"/>
          <w:jc w:val="center"/>
        </w:trPr>
        <w:tc>
          <w:tcPr>
            <w:tcW w:w="1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1D9B2">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一般检查</w:t>
            </w: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03696">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身高、体重、血压</w:t>
            </w:r>
          </w:p>
        </w:tc>
      </w:tr>
      <w:tr w14:paraId="5C49471D">
        <w:tblPrEx>
          <w:tblCellMar>
            <w:top w:w="0" w:type="dxa"/>
            <w:left w:w="108" w:type="dxa"/>
            <w:bottom w:w="0" w:type="dxa"/>
            <w:right w:w="108" w:type="dxa"/>
          </w:tblCellMar>
        </w:tblPrEx>
        <w:trPr>
          <w:trHeight w:val="389" w:hRule="atLeast"/>
          <w:jc w:val="center"/>
        </w:trPr>
        <w:tc>
          <w:tcPr>
            <w:tcW w:w="1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7468D">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临床检查</w:t>
            </w: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83765">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心肺部听诊、腹部叩诊</w:t>
            </w:r>
          </w:p>
        </w:tc>
      </w:tr>
      <w:tr w14:paraId="5B20A656">
        <w:tblPrEx>
          <w:tblCellMar>
            <w:top w:w="0" w:type="dxa"/>
            <w:left w:w="108" w:type="dxa"/>
            <w:bottom w:w="0" w:type="dxa"/>
            <w:right w:w="108" w:type="dxa"/>
          </w:tblCellMar>
        </w:tblPrEx>
        <w:trPr>
          <w:trHeight w:val="389" w:hRule="atLeast"/>
          <w:jc w:val="center"/>
        </w:trPr>
        <w:tc>
          <w:tcPr>
            <w:tcW w:w="1981" w:type="dxa"/>
            <w:tcBorders>
              <w:top w:val="single" w:color="000000" w:sz="4" w:space="0"/>
              <w:left w:val="single" w:color="000000" w:sz="4" w:space="0"/>
              <w:bottom w:val="nil"/>
              <w:right w:val="single" w:color="000000" w:sz="4" w:space="0"/>
            </w:tcBorders>
            <w:shd w:val="clear" w:color="auto" w:fill="auto"/>
            <w:noWrap/>
            <w:vAlign w:val="center"/>
          </w:tcPr>
          <w:p w14:paraId="6FB3FFF2">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眼科检查</w:t>
            </w: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3F7B9">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眼底镜</w:t>
            </w:r>
          </w:p>
        </w:tc>
      </w:tr>
      <w:tr w14:paraId="10E66F23">
        <w:tblPrEx>
          <w:tblCellMar>
            <w:top w:w="0" w:type="dxa"/>
            <w:left w:w="108" w:type="dxa"/>
            <w:bottom w:w="0" w:type="dxa"/>
            <w:right w:w="108" w:type="dxa"/>
          </w:tblCellMar>
        </w:tblPrEx>
        <w:trPr>
          <w:trHeight w:val="389" w:hRule="atLeast"/>
          <w:jc w:val="center"/>
        </w:trPr>
        <w:tc>
          <w:tcPr>
            <w:tcW w:w="198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26E10">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rPr>
              <w:t>检验科</w:t>
            </w: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6388B">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血常规</w:t>
            </w:r>
          </w:p>
        </w:tc>
      </w:tr>
      <w:tr w14:paraId="355C987B">
        <w:tblPrEx>
          <w:tblCellMar>
            <w:top w:w="0" w:type="dxa"/>
            <w:left w:w="108" w:type="dxa"/>
            <w:bottom w:w="0" w:type="dxa"/>
            <w:right w:w="108" w:type="dxa"/>
          </w:tblCellMar>
        </w:tblPrEx>
        <w:trPr>
          <w:trHeight w:val="516"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FE00E">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8C335">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传染病三项（甲肝、乙肝、丙肝）</w:t>
            </w:r>
          </w:p>
        </w:tc>
      </w:tr>
      <w:tr w14:paraId="142FDDCC">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865B1">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BA3D3">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肝功八项</w:t>
            </w:r>
          </w:p>
        </w:tc>
      </w:tr>
      <w:tr w14:paraId="6A99A80D">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8B911">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1BDD4">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肾功三项</w:t>
            </w:r>
          </w:p>
        </w:tc>
      </w:tr>
      <w:tr w14:paraId="7E2A0FA9">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FD3BE">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B054C">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空腹血糖</w:t>
            </w:r>
          </w:p>
        </w:tc>
      </w:tr>
      <w:tr w14:paraId="24E09735">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7985A">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4DBCD">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胰岛素定量</w:t>
            </w:r>
          </w:p>
        </w:tc>
      </w:tr>
      <w:tr w14:paraId="435E0C41">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DBD26">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A1401">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糖化血红蛋白</w:t>
            </w:r>
          </w:p>
        </w:tc>
      </w:tr>
      <w:tr w14:paraId="0AB18710">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524FC">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BEBA8">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血脂六项</w:t>
            </w:r>
          </w:p>
        </w:tc>
      </w:tr>
      <w:tr w14:paraId="5AF766D7">
        <w:tblPrEx>
          <w:tblCellMar>
            <w:top w:w="0" w:type="dxa"/>
            <w:left w:w="108" w:type="dxa"/>
            <w:bottom w:w="0" w:type="dxa"/>
            <w:right w:w="108" w:type="dxa"/>
          </w:tblCellMar>
        </w:tblPrEx>
        <w:trPr>
          <w:trHeight w:val="435"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017AF">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15367">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rPr>
              <w:t>甲胎蛋白、癌胚抗原</w:t>
            </w:r>
          </w:p>
        </w:tc>
      </w:tr>
      <w:tr w14:paraId="41A48056">
        <w:tblPrEx>
          <w:tblCellMar>
            <w:top w:w="0" w:type="dxa"/>
            <w:left w:w="108" w:type="dxa"/>
            <w:bottom w:w="0" w:type="dxa"/>
            <w:right w:w="108" w:type="dxa"/>
          </w:tblCellMar>
        </w:tblPrEx>
        <w:trPr>
          <w:trHeight w:val="516"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E1B77">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AC7E8">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幽门螺杆菌抗体</w:t>
            </w:r>
          </w:p>
        </w:tc>
      </w:tr>
      <w:tr w14:paraId="47552A41">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75628">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FFFCA">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同型半胱氨酸</w:t>
            </w:r>
          </w:p>
        </w:tc>
      </w:tr>
      <w:tr w14:paraId="63AB8A5F">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D9C30">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B5627">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心肌酶五项</w:t>
            </w:r>
          </w:p>
        </w:tc>
      </w:tr>
      <w:tr w14:paraId="15978B16">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D990A">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2BC18">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IGRA（荧光免疫层析法）</w:t>
            </w:r>
          </w:p>
        </w:tc>
      </w:tr>
      <w:tr w14:paraId="7BFBA540">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B8B0F">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480D8">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尿常规</w:t>
            </w:r>
          </w:p>
        </w:tc>
      </w:tr>
      <w:tr w14:paraId="7F323DBE">
        <w:tblPrEx>
          <w:tblCellMar>
            <w:top w:w="0" w:type="dxa"/>
            <w:left w:w="108" w:type="dxa"/>
            <w:bottom w:w="0" w:type="dxa"/>
            <w:right w:w="108" w:type="dxa"/>
          </w:tblCellMar>
        </w:tblPrEx>
        <w:trPr>
          <w:trHeight w:val="389" w:hRule="atLeast"/>
          <w:jc w:val="center"/>
        </w:trPr>
        <w:tc>
          <w:tcPr>
            <w:tcW w:w="198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F0F05">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rPr>
              <w:t>彩超</w:t>
            </w: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18061">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肝胆彩超</w:t>
            </w:r>
          </w:p>
        </w:tc>
      </w:tr>
      <w:tr w14:paraId="41CD782D">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CBA15">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E7CAC">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胰脾彩超</w:t>
            </w:r>
          </w:p>
        </w:tc>
      </w:tr>
      <w:tr w14:paraId="2DB107CA">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DA2D6">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A2556">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双肾彩超</w:t>
            </w:r>
          </w:p>
        </w:tc>
      </w:tr>
      <w:tr w14:paraId="1407CB48">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7EB04">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B685B">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甲状腺彩超</w:t>
            </w:r>
          </w:p>
        </w:tc>
      </w:tr>
      <w:tr w14:paraId="146296E1">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A13B9">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1B72C">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颈动脉彩超</w:t>
            </w:r>
          </w:p>
        </w:tc>
      </w:tr>
      <w:tr w14:paraId="3385E3F8">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76F11">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2EE6F">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前列腺彩超（男）</w:t>
            </w:r>
          </w:p>
        </w:tc>
      </w:tr>
      <w:tr w14:paraId="18679FF4">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C3693">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0EE9F">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乳腺彩超（女）</w:t>
            </w:r>
          </w:p>
        </w:tc>
      </w:tr>
      <w:tr w14:paraId="40714C60">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A4465">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E6EC9">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子宫、附件彩超（女）</w:t>
            </w:r>
          </w:p>
        </w:tc>
      </w:tr>
      <w:tr w14:paraId="2049BA1A">
        <w:tblPrEx>
          <w:tblCellMar>
            <w:top w:w="0" w:type="dxa"/>
            <w:left w:w="108" w:type="dxa"/>
            <w:bottom w:w="0" w:type="dxa"/>
            <w:right w:w="108" w:type="dxa"/>
          </w:tblCellMar>
        </w:tblPrEx>
        <w:trPr>
          <w:trHeight w:val="389" w:hRule="atLeast"/>
          <w:jc w:val="center"/>
        </w:trPr>
        <w:tc>
          <w:tcPr>
            <w:tcW w:w="1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D763D">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功能科</w:t>
            </w: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C79C6">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静态心电图</w:t>
            </w:r>
          </w:p>
        </w:tc>
      </w:tr>
      <w:tr w14:paraId="4030B983">
        <w:tblPrEx>
          <w:tblCellMar>
            <w:top w:w="0" w:type="dxa"/>
            <w:left w:w="108" w:type="dxa"/>
            <w:bottom w:w="0" w:type="dxa"/>
            <w:right w:w="108" w:type="dxa"/>
          </w:tblCellMar>
        </w:tblPrEx>
        <w:trPr>
          <w:trHeight w:val="389" w:hRule="atLeast"/>
          <w:jc w:val="center"/>
        </w:trPr>
        <w:tc>
          <w:tcPr>
            <w:tcW w:w="198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7F810">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rPr>
              <w:t>妇科</w:t>
            </w:r>
          </w:p>
        </w:tc>
        <w:tc>
          <w:tcPr>
            <w:tcW w:w="6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7F6FE">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宫颈液基TCT</w:t>
            </w:r>
          </w:p>
        </w:tc>
      </w:tr>
      <w:tr w14:paraId="64DAC85E">
        <w:tblPrEx>
          <w:tblCellMar>
            <w:top w:w="0" w:type="dxa"/>
            <w:left w:w="108" w:type="dxa"/>
            <w:bottom w:w="0" w:type="dxa"/>
            <w:right w:w="108" w:type="dxa"/>
          </w:tblCellMar>
        </w:tblPrEx>
        <w:trPr>
          <w:trHeight w:val="389" w:hRule="atLeast"/>
          <w:jc w:val="center"/>
        </w:trPr>
        <w:tc>
          <w:tcPr>
            <w:tcW w:w="1981" w:type="dxa"/>
            <w:vMerge w:val="continue"/>
            <w:tcBorders>
              <w:top w:val="single" w:color="000000" w:sz="4" w:space="0"/>
              <w:left w:val="single" w:color="000000" w:sz="4" w:space="0"/>
              <w:bottom w:val="single" w:color="auto" w:sz="4" w:space="0"/>
              <w:right w:val="single" w:color="000000" w:sz="4" w:space="0"/>
            </w:tcBorders>
            <w:shd w:val="clear" w:color="auto" w:fill="auto"/>
            <w:noWrap/>
            <w:vAlign w:val="center"/>
          </w:tcPr>
          <w:p w14:paraId="6BF615B4">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30BD8406">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HPV检测（23型）</w:t>
            </w:r>
          </w:p>
        </w:tc>
      </w:tr>
      <w:tr w14:paraId="27B4C1B4">
        <w:tblPrEx>
          <w:tblCellMar>
            <w:top w:w="0" w:type="dxa"/>
            <w:left w:w="108" w:type="dxa"/>
            <w:bottom w:w="0" w:type="dxa"/>
            <w:right w:w="108" w:type="dxa"/>
          </w:tblCellMar>
        </w:tblPrEx>
        <w:trPr>
          <w:trHeight w:val="516" w:hRule="atLeast"/>
          <w:jc w:val="center"/>
        </w:trPr>
        <w:tc>
          <w:tcPr>
            <w:tcW w:w="1981" w:type="dxa"/>
            <w:vMerge w:val="restart"/>
            <w:tcBorders>
              <w:top w:val="single" w:color="auto" w:sz="4" w:space="0"/>
              <w:left w:val="single" w:color="auto" w:sz="4" w:space="0"/>
              <w:bottom w:val="nil"/>
              <w:right w:val="single" w:color="000000" w:sz="4" w:space="0"/>
            </w:tcBorders>
            <w:shd w:val="clear" w:color="auto" w:fill="auto"/>
            <w:noWrap/>
            <w:vAlign w:val="center"/>
          </w:tcPr>
          <w:p w14:paraId="35583AD5">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放射科</w:t>
            </w:r>
          </w:p>
        </w:tc>
        <w:tc>
          <w:tcPr>
            <w:tcW w:w="6499" w:type="dxa"/>
            <w:tcBorders>
              <w:top w:val="single" w:color="auto" w:sz="4" w:space="0"/>
              <w:left w:val="single" w:color="000000" w:sz="4" w:space="0"/>
              <w:bottom w:val="single" w:color="000000" w:sz="4" w:space="0"/>
              <w:right w:val="single" w:color="auto" w:sz="4" w:space="0"/>
            </w:tcBorders>
            <w:shd w:val="clear" w:color="auto" w:fill="auto"/>
            <w:vAlign w:val="center"/>
          </w:tcPr>
          <w:p w14:paraId="1EB6FEAA">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头、颈、胸、上腹、下腹、腰椎CT任选一项</w:t>
            </w:r>
          </w:p>
        </w:tc>
      </w:tr>
      <w:tr w14:paraId="3DBA1F15">
        <w:tblPrEx>
          <w:tblCellMar>
            <w:top w:w="0" w:type="dxa"/>
            <w:left w:w="108" w:type="dxa"/>
            <w:bottom w:w="0" w:type="dxa"/>
            <w:right w:w="108" w:type="dxa"/>
          </w:tblCellMar>
        </w:tblPrEx>
        <w:trPr>
          <w:trHeight w:val="410" w:hRule="atLeast"/>
          <w:jc w:val="center"/>
        </w:trPr>
        <w:tc>
          <w:tcPr>
            <w:tcW w:w="1981" w:type="dxa"/>
            <w:vMerge w:val="continue"/>
            <w:tcBorders>
              <w:top w:val="single" w:color="000000" w:sz="4" w:space="0"/>
              <w:left w:val="single" w:color="auto" w:sz="4" w:space="0"/>
              <w:bottom w:val="single" w:color="auto" w:sz="4" w:space="0"/>
              <w:right w:val="single" w:color="000000" w:sz="4" w:space="0"/>
            </w:tcBorders>
            <w:shd w:val="clear" w:color="auto" w:fill="auto"/>
            <w:noWrap/>
            <w:vAlign w:val="center"/>
          </w:tcPr>
          <w:p w14:paraId="7BE8AC90">
            <w:pPr>
              <w:jc w:val="center"/>
              <w:rPr>
                <w:rFonts w:hint="eastAsia" w:ascii="宋体" w:hAnsi="宋体" w:eastAsia="宋体" w:cs="宋体"/>
                <w:color w:val="000000"/>
                <w:sz w:val="24"/>
                <w:szCs w:val="24"/>
              </w:rPr>
            </w:pPr>
          </w:p>
        </w:tc>
        <w:tc>
          <w:tcPr>
            <w:tcW w:w="6499" w:type="dxa"/>
            <w:tcBorders>
              <w:top w:val="single" w:color="000000" w:sz="4" w:space="0"/>
              <w:left w:val="single" w:color="000000" w:sz="4" w:space="0"/>
              <w:bottom w:val="single" w:color="auto" w:sz="4" w:space="0"/>
              <w:right w:val="single" w:color="auto" w:sz="4" w:space="0"/>
            </w:tcBorders>
            <w:shd w:val="clear" w:color="auto" w:fill="auto"/>
            <w:vAlign w:val="center"/>
          </w:tcPr>
          <w:p w14:paraId="266E3B16">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颈部侧位片</w:t>
            </w:r>
          </w:p>
        </w:tc>
      </w:tr>
    </w:tbl>
    <w:p w14:paraId="4EF662BA">
      <w:pPr>
        <w:keepNext w:val="0"/>
        <w:keepLines w:val="0"/>
        <w:pageBreakBefore w:val="0"/>
        <w:widowControl w:val="0"/>
        <w:numPr>
          <w:ilvl w:val="0"/>
          <w:numId w:val="0"/>
        </w:numPr>
        <w:kinsoku/>
        <w:wordWrap/>
        <w:overflowPunct/>
        <w:topLinePunct w:val="0"/>
        <w:autoSpaceDE/>
        <w:autoSpaceDN/>
        <w:bidi w:val="0"/>
        <w:adjustRightInd/>
        <w:snapToGrid/>
        <w:spacing w:line="420" w:lineRule="exact"/>
        <w:textAlignment w:val="auto"/>
        <w:rPr>
          <w:rFonts w:hint="eastAsia" w:eastAsia="宋体" w:cs="宋体"/>
          <w:b w:val="0"/>
          <w:bCs w:val="0"/>
          <w:sz w:val="28"/>
          <w:szCs w:val="28"/>
          <w:lang w:val="en-US" w:eastAsia="zh-CN"/>
        </w:rPr>
      </w:pPr>
      <w:r>
        <w:rPr>
          <w:rFonts w:hint="eastAsia" w:eastAsia="宋体" w:cs="宋体"/>
          <w:b w:val="0"/>
          <w:bCs w:val="0"/>
          <w:sz w:val="28"/>
          <w:szCs w:val="28"/>
          <w:lang w:val="en-US" w:eastAsia="zh-CN"/>
        </w:rPr>
        <w:t xml:space="preserve">附件2：    </w:t>
      </w:r>
    </w:p>
    <w:p w14:paraId="3F68EF31">
      <w:pPr>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560" w:firstLineChars="200"/>
        <w:textAlignment w:val="auto"/>
        <w:rPr>
          <w:rFonts w:hint="eastAsia" w:eastAsia="宋体" w:cs="宋体"/>
          <w:b w:val="0"/>
          <w:bCs w:val="0"/>
          <w:sz w:val="28"/>
          <w:szCs w:val="28"/>
          <w:lang w:val="en-US" w:eastAsia="zh-CN"/>
        </w:rPr>
      </w:pPr>
    </w:p>
    <w:tbl>
      <w:tblPr>
        <w:tblStyle w:val="6"/>
        <w:tblW w:w="8900" w:type="dxa"/>
        <w:jc w:val="center"/>
        <w:tblLayout w:type="fixed"/>
        <w:tblCellMar>
          <w:top w:w="0" w:type="dxa"/>
          <w:left w:w="108" w:type="dxa"/>
          <w:bottom w:w="0" w:type="dxa"/>
          <w:right w:w="108" w:type="dxa"/>
        </w:tblCellMar>
      </w:tblPr>
      <w:tblGrid>
        <w:gridCol w:w="2088"/>
        <w:gridCol w:w="6812"/>
      </w:tblGrid>
      <w:tr w14:paraId="144DEC59">
        <w:tblPrEx>
          <w:tblCellMar>
            <w:top w:w="0" w:type="dxa"/>
            <w:left w:w="108" w:type="dxa"/>
            <w:bottom w:w="0" w:type="dxa"/>
            <w:right w:w="108" w:type="dxa"/>
          </w:tblCellMar>
        </w:tblPrEx>
        <w:trPr>
          <w:trHeight w:val="368" w:hRule="atLeast"/>
          <w:jc w:val="center"/>
        </w:trPr>
        <w:tc>
          <w:tcPr>
            <w:tcW w:w="89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06F17">
            <w:pPr>
              <w:widowControl/>
              <w:jc w:val="center"/>
              <w:textAlignment w:val="bottom"/>
              <w:rPr>
                <w:rFonts w:hint="eastAsia" w:ascii="等线" w:hAnsi="等线" w:eastAsia="宋体" w:cs="等线"/>
                <w:color w:val="000000"/>
                <w:sz w:val="24"/>
                <w:szCs w:val="24"/>
                <w:lang w:val="en-US" w:eastAsia="zh-CN"/>
              </w:rPr>
            </w:pPr>
            <w:r>
              <w:rPr>
                <w:rFonts w:hint="eastAsia" w:ascii="宋体" w:hAnsi="宋体" w:eastAsia="宋体" w:cs="宋体"/>
                <w:b/>
                <w:bCs/>
                <w:color w:val="000000"/>
                <w:kern w:val="0"/>
                <w:sz w:val="24"/>
                <w:szCs w:val="24"/>
              </w:rPr>
              <w:t>45周岁及以上人员</w:t>
            </w:r>
            <w:r>
              <w:rPr>
                <w:rFonts w:hint="eastAsia" w:ascii="宋体" w:hAnsi="宋体" w:eastAsia="宋体" w:cs="宋体"/>
                <w:b/>
                <w:bCs/>
                <w:color w:val="000000"/>
                <w:kern w:val="0"/>
                <w:sz w:val="24"/>
                <w:szCs w:val="24"/>
                <w:lang w:val="en-US" w:eastAsia="zh-CN"/>
              </w:rPr>
              <w:t>体检项目</w:t>
            </w:r>
          </w:p>
        </w:tc>
      </w:tr>
      <w:tr w14:paraId="348D4077">
        <w:tblPrEx>
          <w:tblCellMar>
            <w:top w:w="0" w:type="dxa"/>
            <w:left w:w="108" w:type="dxa"/>
            <w:bottom w:w="0" w:type="dxa"/>
            <w:right w:w="108" w:type="dxa"/>
          </w:tblCellMar>
        </w:tblPrEx>
        <w:trPr>
          <w:trHeight w:val="368" w:hRule="atLeas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99F4B">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一般检查</w:t>
            </w: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F424D">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身高、体重、血压</w:t>
            </w:r>
          </w:p>
        </w:tc>
      </w:tr>
      <w:tr w14:paraId="26140CAD">
        <w:tblPrEx>
          <w:tblCellMar>
            <w:top w:w="0" w:type="dxa"/>
            <w:left w:w="108" w:type="dxa"/>
            <w:bottom w:w="0" w:type="dxa"/>
            <w:right w:w="108" w:type="dxa"/>
          </w:tblCellMar>
        </w:tblPrEx>
        <w:trPr>
          <w:trHeight w:val="368" w:hRule="atLeas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27900">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临床检查</w:t>
            </w: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3EA0F">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心肺部听诊、腹部叩诊</w:t>
            </w:r>
          </w:p>
        </w:tc>
      </w:tr>
      <w:tr w14:paraId="3C216783">
        <w:tblPrEx>
          <w:tblCellMar>
            <w:top w:w="0" w:type="dxa"/>
            <w:left w:w="108" w:type="dxa"/>
            <w:bottom w:w="0" w:type="dxa"/>
            <w:right w:w="108" w:type="dxa"/>
          </w:tblCellMar>
        </w:tblPrEx>
        <w:trPr>
          <w:trHeight w:val="368" w:hRule="atLeast"/>
          <w:jc w:val="center"/>
        </w:trPr>
        <w:tc>
          <w:tcPr>
            <w:tcW w:w="2088" w:type="dxa"/>
            <w:tcBorders>
              <w:top w:val="single" w:color="000000" w:sz="4" w:space="0"/>
              <w:left w:val="single" w:color="000000" w:sz="4" w:space="0"/>
              <w:bottom w:val="nil"/>
              <w:right w:val="single" w:color="000000" w:sz="4" w:space="0"/>
            </w:tcBorders>
            <w:shd w:val="clear" w:color="auto" w:fill="auto"/>
            <w:noWrap/>
            <w:vAlign w:val="center"/>
          </w:tcPr>
          <w:p w14:paraId="344BB742">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眼科检查</w:t>
            </w: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49228">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眼底镜</w:t>
            </w:r>
          </w:p>
        </w:tc>
      </w:tr>
      <w:tr w14:paraId="1675C1A9">
        <w:tblPrEx>
          <w:tblCellMar>
            <w:top w:w="0" w:type="dxa"/>
            <w:left w:w="108" w:type="dxa"/>
            <w:bottom w:w="0" w:type="dxa"/>
            <w:right w:w="108" w:type="dxa"/>
          </w:tblCellMar>
        </w:tblPrEx>
        <w:trPr>
          <w:trHeight w:val="368" w:hRule="atLeast"/>
          <w:jc w:val="center"/>
        </w:trPr>
        <w:tc>
          <w:tcPr>
            <w:tcW w:w="208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7906E">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rPr>
              <w:t>检验科</w:t>
            </w: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160BB">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血常规</w:t>
            </w:r>
          </w:p>
        </w:tc>
      </w:tr>
      <w:tr w14:paraId="54E8F0E1">
        <w:tblPrEx>
          <w:tblCellMar>
            <w:top w:w="0" w:type="dxa"/>
            <w:left w:w="108" w:type="dxa"/>
            <w:bottom w:w="0" w:type="dxa"/>
            <w:right w:w="108" w:type="dxa"/>
          </w:tblCellMar>
        </w:tblPrEx>
        <w:trPr>
          <w:trHeight w:val="487"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6B72D">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AD583">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传染病三项（甲肝、乙肝、丙肝）</w:t>
            </w:r>
          </w:p>
        </w:tc>
      </w:tr>
      <w:tr w14:paraId="2DCE0927">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724B4">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2C4AB">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肝功八项</w:t>
            </w:r>
          </w:p>
        </w:tc>
      </w:tr>
      <w:tr w14:paraId="59C7CF86">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9B887">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D505D">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肾功三项</w:t>
            </w:r>
          </w:p>
        </w:tc>
      </w:tr>
      <w:tr w14:paraId="3516B544">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5E022">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08C71">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空腹血糖</w:t>
            </w:r>
          </w:p>
        </w:tc>
      </w:tr>
      <w:tr w14:paraId="3D2A97DD">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940CD">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CD8FE">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胰岛素定量</w:t>
            </w:r>
          </w:p>
        </w:tc>
      </w:tr>
      <w:tr w14:paraId="77AD70E0">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C348C">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72475">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糖化血红蛋白</w:t>
            </w:r>
          </w:p>
        </w:tc>
      </w:tr>
      <w:tr w14:paraId="238D6ED8">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4F5EC">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D5B7E">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血脂六项</w:t>
            </w:r>
          </w:p>
        </w:tc>
      </w:tr>
      <w:tr w14:paraId="21C38409">
        <w:tblPrEx>
          <w:tblCellMar>
            <w:top w:w="0" w:type="dxa"/>
            <w:left w:w="108" w:type="dxa"/>
            <w:bottom w:w="0" w:type="dxa"/>
            <w:right w:w="108" w:type="dxa"/>
          </w:tblCellMar>
        </w:tblPrEx>
        <w:trPr>
          <w:trHeight w:val="943"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26918">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1A97F">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甲胎蛋白、癌胚抗原、铁蛋白、CA-199、CA-125（女）、前列腺特异性抗体（男）</w:t>
            </w:r>
          </w:p>
        </w:tc>
      </w:tr>
      <w:tr w14:paraId="0ED84FCF">
        <w:tblPrEx>
          <w:tblCellMar>
            <w:top w:w="0" w:type="dxa"/>
            <w:left w:w="108" w:type="dxa"/>
            <w:bottom w:w="0" w:type="dxa"/>
            <w:right w:w="108" w:type="dxa"/>
          </w:tblCellMar>
        </w:tblPrEx>
        <w:trPr>
          <w:trHeight w:val="487"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A8839">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72041">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幽门螺杆菌抗体</w:t>
            </w:r>
          </w:p>
        </w:tc>
      </w:tr>
      <w:tr w14:paraId="0EDABBE5">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01883">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D7C5D">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同型半胱氨酸</w:t>
            </w:r>
          </w:p>
        </w:tc>
      </w:tr>
      <w:tr w14:paraId="2FEF2F85">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269E6">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1E93A">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心肌酶五项</w:t>
            </w:r>
          </w:p>
        </w:tc>
      </w:tr>
      <w:tr w14:paraId="1FAB30DF">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DE3E6">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8FB36">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IGRA（荧光免疫层析法）</w:t>
            </w:r>
          </w:p>
        </w:tc>
      </w:tr>
      <w:tr w14:paraId="094434B3">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370C3">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E25DA">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尿常规</w:t>
            </w:r>
          </w:p>
        </w:tc>
      </w:tr>
      <w:tr w14:paraId="7119010A">
        <w:tblPrEx>
          <w:tblCellMar>
            <w:top w:w="0" w:type="dxa"/>
            <w:left w:w="108" w:type="dxa"/>
            <w:bottom w:w="0" w:type="dxa"/>
            <w:right w:w="108" w:type="dxa"/>
          </w:tblCellMar>
        </w:tblPrEx>
        <w:trPr>
          <w:trHeight w:val="368" w:hRule="atLeast"/>
          <w:jc w:val="center"/>
        </w:trPr>
        <w:tc>
          <w:tcPr>
            <w:tcW w:w="208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2C0FB">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rPr>
              <w:t>彩超</w:t>
            </w: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C60F7">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肝胆彩超</w:t>
            </w:r>
          </w:p>
        </w:tc>
      </w:tr>
      <w:tr w14:paraId="569D7E6C">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22361">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43D25">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胰脾彩超</w:t>
            </w:r>
          </w:p>
        </w:tc>
      </w:tr>
      <w:tr w14:paraId="00B0AEFF">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5C22B">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4A24B">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双肾彩超</w:t>
            </w:r>
          </w:p>
        </w:tc>
      </w:tr>
      <w:tr w14:paraId="34936271">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0AFB8">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51078">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甲状腺彩超</w:t>
            </w:r>
          </w:p>
        </w:tc>
      </w:tr>
      <w:tr w14:paraId="38D14B0B">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DC1FE">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931D3">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颈动脉彩超</w:t>
            </w:r>
          </w:p>
        </w:tc>
      </w:tr>
      <w:tr w14:paraId="34F90B9C">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953F4">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8A18F">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前列腺彩超（男）</w:t>
            </w:r>
          </w:p>
        </w:tc>
      </w:tr>
      <w:tr w14:paraId="402AC749">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6C1CC">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71A5B">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乳腺彩超（女）</w:t>
            </w:r>
          </w:p>
        </w:tc>
      </w:tr>
      <w:tr w14:paraId="49700A00">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DBF16">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95BB6">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子宫、附件彩超（女）</w:t>
            </w:r>
          </w:p>
        </w:tc>
      </w:tr>
      <w:tr w14:paraId="69EADDAB">
        <w:tblPrEx>
          <w:tblCellMar>
            <w:top w:w="0" w:type="dxa"/>
            <w:left w:w="108" w:type="dxa"/>
            <w:bottom w:w="0" w:type="dxa"/>
            <w:right w:w="108" w:type="dxa"/>
          </w:tblCellMar>
        </w:tblPrEx>
        <w:trPr>
          <w:trHeight w:val="368" w:hRule="atLeas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3243B">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功能科</w:t>
            </w: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4B4A9">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静态心电图</w:t>
            </w:r>
          </w:p>
        </w:tc>
      </w:tr>
      <w:tr w14:paraId="4C54DBB1">
        <w:tblPrEx>
          <w:tblCellMar>
            <w:top w:w="0" w:type="dxa"/>
            <w:left w:w="108" w:type="dxa"/>
            <w:bottom w:w="0" w:type="dxa"/>
            <w:right w:w="108" w:type="dxa"/>
          </w:tblCellMar>
        </w:tblPrEx>
        <w:trPr>
          <w:trHeight w:val="368" w:hRule="atLeast"/>
          <w:jc w:val="center"/>
        </w:trPr>
        <w:tc>
          <w:tcPr>
            <w:tcW w:w="208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30154">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rPr>
              <w:t>妇科</w:t>
            </w:r>
          </w:p>
        </w:tc>
        <w:tc>
          <w:tcPr>
            <w:tcW w:w="6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C2EAE">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宫颈液基TCT</w:t>
            </w:r>
          </w:p>
        </w:tc>
      </w:tr>
      <w:tr w14:paraId="3E4377DC">
        <w:tblPrEx>
          <w:tblCellMar>
            <w:top w:w="0" w:type="dxa"/>
            <w:left w:w="108" w:type="dxa"/>
            <w:bottom w:w="0" w:type="dxa"/>
            <w:right w:w="108" w:type="dxa"/>
          </w:tblCellMar>
        </w:tblPrEx>
        <w:trPr>
          <w:trHeight w:val="368" w:hRule="atLeast"/>
          <w:jc w:val="center"/>
        </w:trPr>
        <w:tc>
          <w:tcPr>
            <w:tcW w:w="2088" w:type="dxa"/>
            <w:vMerge w:val="continue"/>
            <w:tcBorders>
              <w:top w:val="single" w:color="000000" w:sz="4" w:space="0"/>
              <w:left w:val="single" w:color="000000" w:sz="4" w:space="0"/>
              <w:bottom w:val="single" w:color="auto" w:sz="4" w:space="0"/>
              <w:right w:val="single" w:color="000000" w:sz="4" w:space="0"/>
            </w:tcBorders>
            <w:shd w:val="clear" w:color="auto" w:fill="auto"/>
            <w:noWrap/>
            <w:vAlign w:val="center"/>
          </w:tcPr>
          <w:p w14:paraId="3FF0A5AA">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0CB0621">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HPV检测（23型）</w:t>
            </w:r>
          </w:p>
        </w:tc>
      </w:tr>
      <w:tr w14:paraId="485CEB0A">
        <w:tblPrEx>
          <w:tblCellMar>
            <w:top w:w="0" w:type="dxa"/>
            <w:left w:w="108" w:type="dxa"/>
            <w:bottom w:w="0" w:type="dxa"/>
            <w:right w:w="108" w:type="dxa"/>
          </w:tblCellMar>
        </w:tblPrEx>
        <w:trPr>
          <w:trHeight w:val="487" w:hRule="atLeast"/>
          <w:jc w:val="center"/>
        </w:trPr>
        <w:tc>
          <w:tcPr>
            <w:tcW w:w="2088" w:type="dxa"/>
            <w:vMerge w:val="restart"/>
            <w:tcBorders>
              <w:top w:val="single" w:color="auto" w:sz="4" w:space="0"/>
              <w:left w:val="single" w:color="auto" w:sz="4" w:space="0"/>
              <w:bottom w:val="nil"/>
              <w:right w:val="single" w:color="000000" w:sz="4" w:space="0"/>
            </w:tcBorders>
            <w:shd w:val="clear" w:color="auto" w:fill="auto"/>
            <w:noWrap/>
            <w:vAlign w:val="center"/>
          </w:tcPr>
          <w:p w14:paraId="0741E71A">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放射科</w:t>
            </w:r>
          </w:p>
        </w:tc>
        <w:tc>
          <w:tcPr>
            <w:tcW w:w="6812" w:type="dxa"/>
            <w:tcBorders>
              <w:top w:val="single" w:color="auto" w:sz="4" w:space="0"/>
              <w:left w:val="single" w:color="000000" w:sz="4" w:space="0"/>
              <w:bottom w:val="single" w:color="000000" w:sz="4" w:space="0"/>
              <w:right w:val="single" w:color="auto" w:sz="4" w:space="0"/>
            </w:tcBorders>
            <w:shd w:val="clear" w:color="auto" w:fill="auto"/>
            <w:vAlign w:val="center"/>
          </w:tcPr>
          <w:p w14:paraId="01E19797">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头、颈、胸、上腹、下腹、腰椎CT任选一项</w:t>
            </w:r>
          </w:p>
        </w:tc>
      </w:tr>
      <w:tr w14:paraId="49B30350">
        <w:tblPrEx>
          <w:tblCellMar>
            <w:top w:w="0" w:type="dxa"/>
            <w:left w:w="108" w:type="dxa"/>
            <w:bottom w:w="0" w:type="dxa"/>
            <w:right w:w="108" w:type="dxa"/>
          </w:tblCellMar>
        </w:tblPrEx>
        <w:trPr>
          <w:trHeight w:val="399" w:hRule="atLeast"/>
          <w:jc w:val="center"/>
        </w:trPr>
        <w:tc>
          <w:tcPr>
            <w:tcW w:w="2088" w:type="dxa"/>
            <w:vMerge w:val="continue"/>
            <w:tcBorders>
              <w:top w:val="single" w:color="000000" w:sz="4" w:space="0"/>
              <w:left w:val="single" w:color="auto" w:sz="4" w:space="0"/>
              <w:bottom w:val="single" w:color="auto" w:sz="4" w:space="0"/>
              <w:right w:val="single" w:color="000000" w:sz="4" w:space="0"/>
            </w:tcBorders>
            <w:shd w:val="clear" w:color="auto" w:fill="auto"/>
            <w:noWrap/>
            <w:vAlign w:val="center"/>
          </w:tcPr>
          <w:p w14:paraId="3681B348">
            <w:pPr>
              <w:jc w:val="center"/>
              <w:rPr>
                <w:rFonts w:hint="eastAsia" w:ascii="宋体" w:hAnsi="宋体" w:eastAsia="宋体" w:cs="宋体"/>
                <w:color w:val="000000"/>
                <w:sz w:val="24"/>
                <w:szCs w:val="24"/>
              </w:rPr>
            </w:pPr>
          </w:p>
        </w:tc>
        <w:tc>
          <w:tcPr>
            <w:tcW w:w="6812" w:type="dxa"/>
            <w:tcBorders>
              <w:top w:val="single" w:color="000000" w:sz="4" w:space="0"/>
              <w:left w:val="single" w:color="000000" w:sz="4" w:space="0"/>
              <w:bottom w:val="single" w:color="auto" w:sz="4" w:space="0"/>
              <w:right w:val="single" w:color="auto" w:sz="4" w:space="0"/>
            </w:tcBorders>
            <w:shd w:val="clear" w:color="auto" w:fill="auto"/>
            <w:vAlign w:val="center"/>
          </w:tcPr>
          <w:p w14:paraId="3F2DDB45">
            <w:pPr>
              <w:widowControl/>
              <w:jc w:val="center"/>
              <w:textAlignment w:val="bottom"/>
              <w:rPr>
                <w:rFonts w:hint="eastAsia" w:ascii="宋体" w:hAnsi="宋体" w:eastAsia="宋体" w:cs="宋体"/>
                <w:color w:val="000000"/>
                <w:sz w:val="24"/>
                <w:szCs w:val="24"/>
              </w:rPr>
            </w:pPr>
            <w:r>
              <w:rPr>
                <w:rFonts w:hint="eastAsia" w:ascii="宋体" w:hAnsi="宋体" w:eastAsia="宋体" w:cs="宋体"/>
                <w:color w:val="000000"/>
                <w:kern w:val="0"/>
                <w:sz w:val="24"/>
                <w:szCs w:val="24"/>
              </w:rPr>
              <w:t>颈部侧位片</w:t>
            </w:r>
          </w:p>
        </w:tc>
      </w:tr>
    </w:tbl>
    <w:p w14:paraId="6336DD18">
      <w:pPr>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562" w:firstLineChars="200"/>
        <w:textAlignment w:val="auto"/>
        <w:rPr>
          <w:rFonts w:hint="eastAsia"/>
          <w:b/>
          <w:sz w:val="28"/>
          <w:szCs w:val="28"/>
          <w:highlight w:val="yellow"/>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E3857C"/>
    <w:multiLevelType w:val="singleLevel"/>
    <w:tmpl w:val="DAE3857C"/>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1NjJiNDJlMDkzMWMxMTkxNWY3ZTY2Y2QzOTc5NTUifQ=="/>
    <w:docVar w:name="KSO_WPS_MARK_KEY" w:val="5553e852-633a-4919-ad13-f9c6f3d5130d"/>
  </w:docVars>
  <w:rsids>
    <w:rsidRoot w:val="1BAE5277"/>
    <w:rsid w:val="00124DC3"/>
    <w:rsid w:val="00165B83"/>
    <w:rsid w:val="001C66E2"/>
    <w:rsid w:val="001E28E2"/>
    <w:rsid w:val="00295E45"/>
    <w:rsid w:val="002B698F"/>
    <w:rsid w:val="002E0D76"/>
    <w:rsid w:val="002F3611"/>
    <w:rsid w:val="002F6DCC"/>
    <w:rsid w:val="0046441E"/>
    <w:rsid w:val="005218C8"/>
    <w:rsid w:val="005A45E9"/>
    <w:rsid w:val="006051BD"/>
    <w:rsid w:val="007A7FC2"/>
    <w:rsid w:val="00802EB8"/>
    <w:rsid w:val="008032D4"/>
    <w:rsid w:val="0084717A"/>
    <w:rsid w:val="008954C1"/>
    <w:rsid w:val="00976F0D"/>
    <w:rsid w:val="009816ED"/>
    <w:rsid w:val="00B71784"/>
    <w:rsid w:val="00B75414"/>
    <w:rsid w:val="00C24545"/>
    <w:rsid w:val="00C95A53"/>
    <w:rsid w:val="00CC688D"/>
    <w:rsid w:val="00D557B2"/>
    <w:rsid w:val="00E036F0"/>
    <w:rsid w:val="00E32453"/>
    <w:rsid w:val="00E43807"/>
    <w:rsid w:val="00EF6689"/>
    <w:rsid w:val="00F16370"/>
    <w:rsid w:val="00FE6A2B"/>
    <w:rsid w:val="036B6608"/>
    <w:rsid w:val="05E061C8"/>
    <w:rsid w:val="09296C50"/>
    <w:rsid w:val="0BEF2EFA"/>
    <w:rsid w:val="0E7D37CC"/>
    <w:rsid w:val="11036BF2"/>
    <w:rsid w:val="11A8631F"/>
    <w:rsid w:val="135D00BD"/>
    <w:rsid w:val="158B3E71"/>
    <w:rsid w:val="16E112EB"/>
    <w:rsid w:val="17D9742D"/>
    <w:rsid w:val="18502E13"/>
    <w:rsid w:val="1A92156C"/>
    <w:rsid w:val="1BAE5277"/>
    <w:rsid w:val="1BB76C34"/>
    <w:rsid w:val="1BD8261B"/>
    <w:rsid w:val="1F113EC2"/>
    <w:rsid w:val="1F5301A9"/>
    <w:rsid w:val="1FFA6519"/>
    <w:rsid w:val="1FFB55D0"/>
    <w:rsid w:val="209239FD"/>
    <w:rsid w:val="212B632B"/>
    <w:rsid w:val="219948D6"/>
    <w:rsid w:val="21FE1042"/>
    <w:rsid w:val="25A020B1"/>
    <w:rsid w:val="28D9666D"/>
    <w:rsid w:val="29AC7B15"/>
    <w:rsid w:val="2CCF0B64"/>
    <w:rsid w:val="2E21187C"/>
    <w:rsid w:val="2E9C2616"/>
    <w:rsid w:val="31D66174"/>
    <w:rsid w:val="371A5359"/>
    <w:rsid w:val="37CF6399"/>
    <w:rsid w:val="37ED2A6E"/>
    <w:rsid w:val="385E649B"/>
    <w:rsid w:val="397D4985"/>
    <w:rsid w:val="3A686B06"/>
    <w:rsid w:val="3DA15BAA"/>
    <w:rsid w:val="3E610163"/>
    <w:rsid w:val="413F02EA"/>
    <w:rsid w:val="45F45F9A"/>
    <w:rsid w:val="46795FAD"/>
    <w:rsid w:val="481846BF"/>
    <w:rsid w:val="4D0C6761"/>
    <w:rsid w:val="4F230873"/>
    <w:rsid w:val="51E97405"/>
    <w:rsid w:val="51F93174"/>
    <w:rsid w:val="54D14F9D"/>
    <w:rsid w:val="57DB56AE"/>
    <w:rsid w:val="5854456A"/>
    <w:rsid w:val="5B1A2FC0"/>
    <w:rsid w:val="5DDD29DB"/>
    <w:rsid w:val="5FC40CDE"/>
    <w:rsid w:val="60135919"/>
    <w:rsid w:val="61AA4429"/>
    <w:rsid w:val="61ED3720"/>
    <w:rsid w:val="67BB69B1"/>
    <w:rsid w:val="689607FD"/>
    <w:rsid w:val="6BFF66E9"/>
    <w:rsid w:val="6C4F3268"/>
    <w:rsid w:val="6CC70A7D"/>
    <w:rsid w:val="6E91666F"/>
    <w:rsid w:val="6FF9271D"/>
    <w:rsid w:val="70D21DB3"/>
    <w:rsid w:val="71E401F2"/>
    <w:rsid w:val="720E4E8D"/>
    <w:rsid w:val="75A32E54"/>
    <w:rsid w:val="78DE5FE7"/>
    <w:rsid w:val="7AB931D5"/>
    <w:rsid w:val="7B5353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qFormat/>
    <w:uiPriority w:val="0"/>
    <w:pPr>
      <w:keepNext/>
      <w:keepLines/>
      <w:spacing w:line="360" w:lineRule="auto"/>
      <w:ind w:left="1260"/>
      <w:outlineLvl w:val="3"/>
    </w:pPr>
    <w:rPr>
      <w:rFonts w:ascii="宋体" w:hAnsi="宋体" w:cs="宋体"/>
      <w:bCs/>
      <w:sz w:val="28"/>
      <w:szCs w:val="28"/>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link w:val="1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0"/>
    <w:rPr>
      <w:b/>
    </w:rPr>
  </w:style>
  <w:style w:type="character" w:customStyle="1" w:styleId="10">
    <w:name w:val="页眉 Char"/>
    <w:basedOn w:val="8"/>
    <w:link w:val="5"/>
    <w:qFormat/>
    <w:uiPriority w:val="0"/>
    <w:rPr>
      <w:rFonts w:asciiTheme="minorHAnsi" w:hAnsiTheme="minorHAnsi" w:eastAsiaTheme="minorEastAsia" w:cstheme="minorBidi"/>
      <w:kern w:val="2"/>
      <w:sz w:val="18"/>
      <w:szCs w:val="18"/>
    </w:rPr>
  </w:style>
  <w:style w:type="character" w:customStyle="1" w:styleId="11">
    <w:name w:val="页脚 Char"/>
    <w:basedOn w:val="8"/>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1355</Words>
  <Characters>1503</Characters>
  <Lines>7</Lines>
  <Paragraphs>2</Paragraphs>
  <TotalTime>3</TotalTime>
  <ScaleCrop>false</ScaleCrop>
  <LinksUpToDate>false</LinksUpToDate>
  <CharactersWithSpaces>1592</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2020-11-10T06:19:00Z</dcterms:created>
  <dc:creator>付文</dc:creator>
  <cp:lastModifiedBy>世栩</cp:lastModifiedBy>
  <dcterms:modified xsi:type="dcterms:W3CDTF">2025-06-16T01:36:08Z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94C5884DC3EE4447B274A4F032C8F472_13</vt:lpwstr>
  </property>
  <property fmtid="{D5CDD505-2E9C-101B-9397-08002B2CF9AE}" pid="4" name="KSOTemplateDocerSaveRecord">
    <vt:lpwstr>eyJoZGlkIjoiNjIyZWZiYzUyY2E0ZTNiM2MxNzYwNjc4ZWViMmYzYTkiLCJ1c2VySWQiOiI0Mjk0NzgyMDEifQ==</vt:lpwstr>
  </property>
</Properties>
</file>