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hAnsi="宋体" w:eastAsia="仿宋_GB2312"/>
          <w:sz w:val="28"/>
          <w:szCs w:val="28"/>
        </w:rPr>
      </w:pPr>
    </w:p>
    <w:p>
      <w:pPr>
        <w:spacing w:line="440" w:lineRule="exact"/>
        <w:rPr>
          <w:rFonts w:ascii="仿宋_GB2312" w:hAnsi="宋体" w:eastAsia="仿宋_GB2312"/>
          <w:b/>
          <w:bCs/>
          <w:sz w:val="44"/>
          <w:szCs w:val="44"/>
        </w:rPr>
      </w:pPr>
    </w:p>
    <w:p>
      <w:pPr>
        <w:spacing w:line="440" w:lineRule="exact"/>
        <w:jc w:val="center"/>
        <w:rPr>
          <w:rFonts w:ascii="仿宋_GB2312" w:hAnsi="宋体" w:eastAsia="仿宋_GB2312"/>
          <w:b/>
          <w:bCs/>
          <w:spacing w:val="-20"/>
          <w:sz w:val="44"/>
          <w:szCs w:val="44"/>
        </w:rPr>
      </w:pPr>
      <w:r>
        <w:rPr>
          <w:rFonts w:hint="eastAsia" w:ascii="仿宋_GB2312" w:hAnsi="宋体" w:eastAsia="仿宋_GB2312"/>
          <w:b/>
          <w:bCs/>
          <w:spacing w:val="-20"/>
          <w:sz w:val="44"/>
          <w:szCs w:val="44"/>
        </w:rPr>
        <w:t xml:space="preserve"> </w:t>
      </w:r>
      <w:r>
        <w:rPr>
          <w:rFonts w:ascii="仿宋_GB2312" w:hAnsi="宋体" w:eastAsia="仿宋_GB2312"/>
          <w:b/>
          <w:bCs/>
          <w:spacing w:val="-20"/>
          <w:sz w:val="44"/>
          <w:szCs w:val="44"/>
        </w:rPr>
        <w:t>全国教育教学信息化交流展示活动</w:t>
      </w:r>
    </w:p>
    <w:p>
      <w:pPr>
        <w:spacing w:line="480" w:lineRule="auto"/>
        <w:jc w:val="center"/>
        <w:rPr>
          <w:rFonts w:ascii="仿宋_GB2312" w:hAnsi="宋体" w:eastAsia="仿宋_GB2312"/>
          <w:b/>
          <w:bCs/>
          <w:spacing w:val="-20"/>
          <w:sz w:val="44"/>
          <w:szCs w:val="44"/>
        </w:rPr>
      </w:pPr>
      <w:r>
        <w:rPr>
          <w:rFonts w:hint="eastAsia" w:ascii="仿宋_GB2312" w:hAnsi="宋体" w:eastAsia="仿宋_GB2312"/>
          <w:b/>
          <w:bCs/>
          <w:spacing w:val="-20"/>
          <w:sz w:val="44"/>
          <w:szCs w:val="44"/>
        </w:rPr>
        <w:t>第二十一届全国教育教学信息化大奖赛</w:t>
      </w: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84"/>
          <w:szCs w:val="84"/>
        </w:rPr>
      </w:pPr>
      <w:r>
        <w:rPr>
          <w:rFonts w:hint="eastAsia" w:ascii="仿宋_GB2312" w:hAnsi="宋体" w:eastAsia="仿宋_GB2312"/>
          <w:b/>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ge">
                  <wp:posOffset>8244840</wp:posOffset>
                </wp:positionV>
                <wp:extent cx="5143500" cy="792480"/>
                <wp:effectExtent l="0" t="0" r="0" b="7620"/>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wps:spPr>
                      <wps:txb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大奖赛组织委员会编</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6</w:t>
                            </w:r>
                            <w:r>
                              <w:rPr>
                                <w:rFonts w:hint="eastAsia" w:ascii="仿宋_GB2312" w:hAnsi="宋体" w:eastAsia="仿宋_GB2312"/>
                                <w:b/>
                                <w:bCs/>
                                <w:color w:val="000000"/>
                                <w:sz w:val="32"/>
                              </w:rPr>
                              <w:t>年</w:t>
                            </w:r>
                            <w:r>
                              <w:rPr>
                                <w:rFonts w:ascii="仿宋_GB2312" w:hAnsi="宋体" w:eastAsia="仿宋_GB2312"/>
                                <w:b/>
                                <w:bCs/>
                                <w:color w:val="000000"/>
                                <w:sz w:val="32"/>
                              </w:rPr>
                              <w:t>12</w:t>
                            </w:r>
                            <w:r>
                              <w:rPr>
                                <w:rFonts w:hint="eastAsia" w:ascii="仿宋_GB2312" w:hAnsi="宋体" w:eastAsia="仿宋_GB2312"/>
                                <w:b/>
                                <w:bCs/>
                                <w:color w:val="000000"/>
                                <w:sz w:val="32"/>
                              </w:rPr>
                              <w:t>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pt;margin-top:649.2pt;height:62.4pt;width:405pt;mso-position-vertical-relative:page;z-index:251658240;mso-width-relative:page;mso-height-relative:page;" filled="f" stroked="f" coordsize="21600,21600" o:gfxdata="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4N501wAAAAsBAAAPAAAAAAAAAAEAIAAAACIAAABkcnMvZG93bnJldi54bWxQSwECFAAUAAAACACH&#10;TuJA6eB0EOwBAADHAwAADgAAAAAAAAABACAAAAAmAQAAZHJzL2Uyb0RvYy54bWxQSwUGAAAAAAYA&#10;BgBZAQAAhAUAAAAA&#10;">
                <v:fill on="f" focussize="0,0"/>
                <v:stroke on="f"/>
                <v:imagedata o:title=""/>
                <o:lock v:ext="edit" aspectratio="f"/>
                <v:textbo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大奖赛组织委员会编</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6</w:t>
                      </w:r>
                      <w:r>
                        <w:rPr>
                          <w:rFonts w:hint="eastAsia" w:ascii="仿宋_GB2312" w:hAnsi="宋体" w:eastAsia="仿宋_GB2312"/>
                          <w:b/>
                          <w:bCs/>
                          <w:color w:val="000000"/>
                          <w:sz w:val="32"/>
                        </w:rPr>
                        <w:t>年</w:t>
                      </w:r>
                      <w:r>
                        <w:rPr>
                          <w:rFonts w:ascii="仿宋_GB2312" w:hAnsi="宋体" w:eastAsia="仿宋_GB2312"/>
                          <w:b/>
                          <w:bCs/>
                          <w:color w:val="000000"/>
                          <w:sz w:val="32"/>
                        </w:rPr>
                        <w:t>12</w:t>
                      </w:r>
                      <w:r>
                        <w:rPr>
                          <w:rFonts w:hint="eastAsia" w:ascii="仿宋_GB2312" w:hAnsi="宋体" w:eastAsia="仿宋_GB2312"/>
                          <w:b/>
                          <w:bCs/>
                          <w:color w:val="000000"/>
                          <w:sz w:val="32"/>
                        </w:rPr>
                        <w:t>月</w:t>
                      </w:r>
                    </w:p>
                  </w:txbxContent>
                </v:textbox>
              </v:shape>
            </w:pict>
          </mc:Fallback>
        </mc:AlternateContent>
      </w: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jc w:val="center"/>
        <w:rPr>
          <w:rFonts w:ascii="仿宋_GB2312" w:eastAsia="仿宋_GB2312"/>
          <w:b/>
          <w:sz w:val="36"/>
          <w:szCs w:val="36"/>
        </w:rPr>
      </w:pPr>
      <w:bookmarkStart w:id="0" w:name="_Toc101167274"/>
      <w:bookmarkStart w:id="1" w:name="_Toc94346054"/>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（二）报送时间、方式及费用</w:t>
      </w:r>
    </w:p>
    <w:p>
      <w:pPr>
        <w:ind w:firstLine="420"/>
        <w:rPr>
          <w:rFonts w:ascii="仿宋_GB2312" w:eastAsia="仿宋_GB2312"/>
          <w:b/>
          <w:sz w:val="28"/>
          <w:szCs w:val="28"/>
        </w:rPr>
      </w:pPr>
      <w:r>
        <w:rPr>
          <w:rFonts w:hint="eastAsia" w:ascii="仿宋_GB2312" w:eastAsia="仿宋_GB2312"/>
          <w:b/>
          <w:sz w:val="28"/>
          <w:szCs w:val="28"/>
        </w:rPr>
        <w:t>四、评选及交流展示</w:t>
      </w:r>
    </w:p>
    <w:p>
      <w:pPr>
        <w:ind w:firstLine="420"/>
        <w:rPr>
          <w:rFonts w:ascii="仿宋_GB2312" w:eastAsia="仿宋_GB2312"/>
          <w:b/>
          <w:sz w:val="28"/>
          <w:szCs w:val="28"/>
        </w:rPr>
      </w:pPr>
      <w:r>
        <w:rPr>
          <w:rFonts w:hint="eastAsia" w:ascii="仿宋_GB2312" w:eastAsia="仿宋_GB2312"/>
          <w:b/>
          <w:sz w:val="28"/>
          <w:szCs w:val="28"/>
        </w:rPr>
        <w:t>五、组织工作</w:t>
      </w:r>
    </w:p>
    <w:p>
      <w:pPr>
        <w:ind w:left="420" w:firstLine="420"/>
        <w:rPr>
          <w:rFonts w:ascii="仿宋_GB2312" w:eastAsia="仿宋_GB2312"/>
          <w:sz w:val="28"/>
          <w:szCs w:val="28"/>
        </w:rPr>
      </w:pPr>
      <w:r>
        <w:rPr>
          <w:rFonts w:hint="eastAsia" w:ascii="仿宋_GB2312" w:eastAsia="仿宋_GB2312"/>
          <w:sz w:val="28"/>
          <w:szCs w:val="28"/>
        </w:rPr>
        <w:t>（一）组织领导</w:t>
      </w:r>
    </w:p>
    <w:p>
      <w:pPr>
        <w:ind w:left="420" w:firstLine="420"/>
        <w:rPr>
          <w:rFonts w:ascii="仿宋_GB2312" w:eastAsia="仿宋_GB2312"/>
          <w:sz w:val="28"/>
          <w:szCs w:val="28"/>
        </w:rPr>
      </w:pPr>
      <w:r>
        <w:rPr>
          <w:rFonts w:hint="eastAsia" w:ascii="仿宋_GB2312" w:eastAsia="仿宋_GB2312"/>
          <w:sz w:val="28"/>
          <w:szCs w:val="28"/>
        </w:rPr>
        <w:t>（二）联系方式</w:t>
      </w:r>
    </w:p>
    <w:p>
      <w:pPr>
        <w:spacing w:line="360" w:lineRule="auto"/>
        <w:ind w:firstLine="420"/>
        <w:rPr>
          <w:rFonts w:ascii="仿宋_GB2312" w:eastAsia="仿宋_GB2312"/>
          <w:sz w:val="28"/>
          <w:szCs w:val="28"/>
        </w:rPr>
      </w:pPr>
      <w:r>
        <w:rPr>
          <w:rFonts w:hint="eastAsia" w:ascii="仿宋_GB2312" w:eastAsia="仿宋_GB2312"/>
          <w:sz w:val="28"/>
          <w:szCs w:val="28"/>
        </w:rPr>
        <w:t>附表1: 作品登记表</w:t>
      </w:r>
    </w:p>
    <w:p>
      <w:pPr>
        <w:spacing w:line="360" w:lineRule="auto"/>
        <w:ind w:firstLine="420"/>
        <w:rPr>
          <w:rFonts w:ascii="仿宋_GB2312" w:eastAsia="仿宋_GB2312"/>
          <w:sz w:val="28"/>
          <w:szCs w:val="28"/>
        </w:rPr>
      </w:pPr>
      <w:r>
        <w:rPr>
          <w:rFonts w:hint="eastAsia" w:ascii="仿宋_GB2312" w:eastAsia="仿宋_GB2312"/>
          <w:sz w:val="28"/>
          <w:szCs w:val="28"/>
        </w:rPr>
        <w:t>附表2：作品名单及联系人信息表</w:t>
      </w:r>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ind w:firstLine="630" w:firstLineChars="196"/>
        <w:rPr>
          <w:rFonts w:ascii="黑体" w:hAnsi="黑体" w:eastAsia="黑体"/>
          <w:sz w:val="32"/>
          <w:szCs w:val="32"/>
        </w:rPr>
      </w:pPr>
      <w:r>
        <w:rPr>
          <w:rFonts w:ascii="仿宋_GB2312" w:eastAsia="仿宋_GB2312"/>
          <w:b/>
          <w:sz w:val="32"/>
          <w:szCs w:val="32"/>
        </w:rPr>
        <w:br w:type="page"/>
      </w: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ascii="仿宋_GB2312" w:hAnsi="宋体" w:eastAsia="仿宋_GB2312"/>
          <w:bCs/>
          <w:sz w:val="28"/>
        </w:rPr>
      </w:pPr>
      <w:r>
        <w:rPr>
          <w:rFonts w:hint="eastAsia" w:ascii="仿宋_GB2312" w:hAnsi="宋体" w:eastAsia="仿宋_GB2312"/>
          <w:bCs/>
          <w:sz w:val="28"/>
        </w:rPr>
        <w:t>各级各类学校及有关部委、行业所属教育培训机构的教师、教育技术工作者。</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94346057"/>
      <w:bookmarkStart w:id="6" w:name="_Toc101167279"/>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31"/>
          <w:rFonts w:hint="eastAsia" w:ascii="仿宋_GB2312" w:eastAsia="仿宋_GB2312"/>
          <w:b w:val="0"/>
          <w:sz w:val="28"/>
          <w:szCs w:val="28"/>
        </w:rPr>
        <w:t>全国教育教学信息化大奖赛（简称“大奖赛”）</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基础教育、中等职业教育、高等教育</w:t>
      </w:r>
      <w:r>
        <w:rPr>
          <w:rFonts w:hint="eastAsia" w:ascii="仿宋_GB2312" w:hAnsi="宋体" w:eastAsia="仿宋_GB2312"/>
          <w:bCs/>
          <w:sz w:val="28"/>
        </w:rPr>
        <w:t>分组</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1.基础教育组：课件、微课、课例、教师网络空间。</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幼儿教育：课件、微课、课例。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特殊教育：课件、微课、课例。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教学点：教育资源应用教学设计方案、教育资源应用课例。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2.中等职业教育组：课件、微课、精品开放课程。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3.高等教育组：课件、微课、精品开放课程。</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1.课件：是指基于计算机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（1）制作要求：视频、声音、动画等素材采用常用文件格式；作品大小不超过700MB。</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（2）报送形式：通过大赛网站上传报送。应易于安装、运行和卸载；如需非常用软件运行或播放，请同时提供该软件，如相关字体、白板软件等。</w:t>
      </w:r>
    </w:p>
    <w:p>
      <w:pPr>
        <w:spacing w:line="460" w:lineRule="exact"/>
        <w:ind w:firstLine="560" w:firstLineChars="200"/>
        <w:rPr>
          <w:rFonts w:ascii="仿宋_GB2312" w:eastAsia="仿宋_GB2312"/>
          <w:sz w:val="28"/>
          <w:szCs w:val="28"/>
        </w:rPr>
      </w:pPr>
      <w:bookmarkStart w:id="7" w:name="_Toc94346061"/>
      <w:r>
        <w:rPr>
          <w:rFonts w:ascii="仿宋_GB2312" w:eastAsia="仿宋_GB2312"/>
          <w:sz w:val="28"/>
          <w:szCs w:val="28"/>
        </w:rPr>
        <w:t>2</w:t>
      </w:r>
      <w:r>
        <w:rPr>
          <w:rFonts w:hint="eastAsia" w:ascii="仿宋_GB2312" w:eastAsia="仿宋_GB2312"/>
          <w:sz w:val="28"/>
          <w:szCs w:val="28"/>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不超过100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40" w:lineRule="exact"/>
        <w:ind w:firstLine="548" w:firstLineChars="196"/>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.课</w:t>
      </w:r>
      <w:bookmarkEnd w:id="7"/>
      <w:r>
        <w:rPr>
          <w:rFonts w:hint="eastAsia" w:ascii="仿宋_GB2312" w:eastAsia="仿宋_GB2312"/>
          <w:sz w:val="28"/>
          <w:szCs w:val="28"/>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40" w:lineRule="exact"/>
        <w:ind w:firstLine="548" w:firstLineChars="196"/>
        <w:rPr>
          <w:rFonts w:ascii="仿宋_GB2312" w:eastAsia="仿宋_GB2312"/>
          <w:sz w:val="28"/>
          <w:szCs w:val="28"/>
        </w:rPr>
      </w:pPr>
      <w:r>
        <w:rPr>
          <w:rFonts w:ascii="仿宋_GB2312" w:eastAsia="仿宋_GB2312"/>
          <w:sz w:val="28"/>
          <w:szCs w:val="28"/>
        </w:rPr>
        <w:t>翻转课堂教学课例</w:t>
      </w:r>
      <w:r>
        <w:rPr>
          <w:rFonts w:hint="eastAsia" w:ascii="仿宋_GB2312" w:eastAsia="仿宋_GB2312"/>
          <w:sz w:val="28"/>
          <w:szCs w:val="28"/>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440" w:lineRule="exact"/>
        <w:ind w:firstLine="548" w:firstLineChars="196"/>
        <w:rPr>
          <w:rFonts w:ascii="仿宋_GB2312" w:eastAsia="仿宋_GB2312"/>
          <w:sz w:val="28"/>
          <w:szCs w:val="28"/>
        </w:rPr>
      </w:pPr>
      <w:r>
        <w:rPr>
          <w:rFonts w:ascii="仿宋_GB2312" w:eastAsia="仿宋_GB2312"/>
          <w:sz w:val="28"/>
          <w:szCs w:val="28"/>
        </w:rPr>
        <w:t>基于网络的</w:t>
      </w:r>
      <w:r>
        <w:rPr>
          <w:rFonts w:hint="eastAsia" w:ascii="仿宋_GB2312" w:eastAsia="仿宋_GB2312"/>
          <w:sz w:val="28"/>
          <w:szCs w:val="28"/>
        </w:rPr>
        <w:t>PBL（Project-based</w:t>
      </w:r>
      <w:r>
        <w:rPr>
          <w:rFonts w:ascii="仿宋_GB2312" w:eastAsia="仿宋_GB2312"/>
          <w:sz w:val="28"/>
          <w:szCs w:val="28"/>
        </w:rPr>
        <w:t xml:space="preserve"> learning</w:t>
      </w:r>
      <w:r>
        <w:rPr>
          <w:rFonts w:hint="eastAsia" w:ascii="仿宋_GB2312" w:eastAsia="仿宋_GB2312"/>
          <w:sz w:val="28"/>
          <w:szCs w:val="28"/>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一对一数字化学习课例：是指在每位学生均拥有一台数字化终端设备的一对一数字化学习环境下，应用信息技术开展自主学习和主动学习，培养学生分析问题和解决问题能力的新型教学方式。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移动终端课例：</w:t>
      </w:r>
      <w:r>
        <w:rPr>
          <w:rFonts w:ascii="仿宋_GB2312" w:eastAsia="仿宋_GB2312"/>
          <w:sz w:val="28"/>
          <w:szCs w:val="28"/>
        </w:rPr>
        <w:t>是指</w:t>
      </w:r>
      <w:r>
        <w:rPr>
          <w:rFonts w:hint="eastAsia" w:ascii="仿宋_GB2312" w:eastAsia="仿宋_GB2312"/>
          <w:sz w:val="28"/>
          <w:szCs w:val="28"/>
        </w:rPr>
        <w:t>教师在学科教学中应用移动终端技术，把信息技术和教育资源作为内容、方法与手段融合在学科教学过程中，努力培养学生的自主学习能力,探究学习能力,促进教学过程整体优化。</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创意创作教学课例：是指将使用信息技术进行创意创作作为教学内容的的课例，如机器人教学、3D打印、创新教育等。</w:t>
      </w:r>
    </w:p>
    <w:p>
      <w:pPr>
        <w:spacing w:line="440" w:lineRule="exact"/>
        <w:ind w:firstLine="548" w:firstLineChars="196"/>
        <w:rPr>
          <w:rFonts w:hint="eastAsia" w:ascii="仿宋_GB2312" w:eastAsia="仿宋_GB2312"/>
          <w:sz w:val="28"/>
          <w:szCs w:val="28"/>
        </w:rPr>
      </w:pPr>
      <w:r>
        <w:rPr>
          <w:rFonts w:hint="eastAsia" w:ascii="仿宋_GB2312" w:eastAsia="仿宋_GB2312"/>
          <w:sz w:val="28"/>
          <w:szCs w:val="28"/>
        </w:rPr>
        <w:t>云端一体互动课堂教学课例：是指面向全国所有具备云端一体化教学环境的中小学校，使用本次大赛指定的教学信息化软件—天喻教学助手（国家教育资源公共服务平台可下载），按照互动课堂教学模式，完成一堂课的设计、实施和评价过程的课堂实录。课例应包括一堂完整课堂教学的教学设计、教学课件、课堂实录（教学助手互动课堂录屏和授课现场录像）、教学反思、相关资源（可选）和评测练习（可选）等。</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作品总大小不超过700MB。</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每节课为一个标准课时。</w:t>
      </w:r>
    </w:p>
    <w:p>
      <w:pPr>
        <w:spacing w:line="4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.教师网络空间：</w:t>
      </w:r>
      <w:r>
        <w:rPr>
          <w:rFonts w:ascii="仿宋_GB2312" w:eastAsia="仿宋_GB2312"/>
          <w:sz w:val="28"/>
          <w:szCs w:val="28"/>
        </w:rPr>
        <w:t>是指</w:t>
      </w:r>
      <w:r>
        <w:rPr>
          <w:rFonts w:hint="eastAsia" w:ascii="仿宋_GB2312" w:eastAsia="仿宋_GB2312"/>
          <w:sz w:val="28"/>
          <w:szCs w:val="28"/>
        </w:rPr>
        <w:t>教师在网络平台上从事教与学活动的载体。作品应主要体现教师应用网络学习空间开展的资源应用、备课授课、网络研修、家校互动、师生互动、指导评价等活动情况。</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文档，综合反映教师网络空间的日常应用情况和应用效果。同时提交空间使用说明文档，包括空间网址、评审专用临时账号密码和使用指南等。</w:t>
      </w:r>
    </w:p>
    <w:p>
      <w:pPr>
        <w:spacing w:line="4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.教育资源应用教学设计方案、教育资源应用课例：</w:t>
      </w:r>
      <w:r>
        <w:rPr>
          <w:rFonts w:ascii="仿宋_GB2312" w:eastAsia="仿宋_GB2312"/>
          <w:sz w:val="28"/>
          <w:szCs w:val="28"/>
        </w:rPr>
        <w:t>是指</w:t>
      </w:r>
      <w:r>
        <w:rPr>
          <w:rFonts w:hint="eastAsia" w:ascii="仿宋_GB2312" w:eastAsia="仿宋_GB2312"/>
          <w:sz w:val="28"/>
          <w:szCs w:val="28"/>
        </w:rPr>
        <w:t>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①报送的教学设计方案使用Word、WPS等格式。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700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每节课为一个标准课时。</w:t>
      </w:r>
    </w:p>
    <w:p>
      <w:pPr>
        <w:spacing w:line="460" w:lineRule="exact"/>
        <w:ind w:firstLine="560" w:firstLineChars="200"/>
        <w:rPr>
          <w:rFonts w:ascii="仿宋_GB2312" w:hAnsi="Calibri" w:eastAsia="仿宋_GB2312"/>
          <w:sz w:val="28"/>
          <w:szCs w:val="28"/>
        </w:rPr>
      </w:pPr>
      <w:r>
        <w:rPr>
          <w:rFonts w:ascii="仿宋_GB2312" w:eastAsia="仿宋_GB2312"/>
          <w:sz w:val="28"/>
          <w:szCs w:val="28"/>
        </w:rPr>
        <w:t>6</w:t>
      </w:r>
      <w:r>
        <w:rPr>
          <w:rFonts w:hint="eastAsia" w:ascii="仿宋_GB2312" w:eastAsia="仿宋_GB2312"/>
          <w:sz w:val="28"/>
          <w:szCs w:val="28"/>
        </w:rPr>
        <w:t>.精品开放课程</w:t>
      </w:r>
      <w:r>
        <w:rPr>
          <w:rFonts w:hint="eastAsia" w:ascii="仿宋_GB2312" w:hAnsi="Calibri" w:eastAsia="仿宋_GB2312"/>
          <w:sz w:val="28"/>
          <w:szCs w:val="28"/>
        </w:rPr>
        <w:t>：</w:t>
      </w:r>
      <w:r>
        <w:rPr>
          <w:rFonts w:hint="eastAsia" w:ascii="仿宋_GB2312" w:eastAsia="仿宋_GB2312"/>
          <w:sz w:val="28"/>
          <w:szCs w:val="28"/>
        </w:rPr>
        <w:t>是以普及共享优质课程资源为目的、体现现代教育思想和教育教学规律、展示教师先进教学理念和方法、服务学习者自主学习、通过网络传播的开放课程，包括精品视频公开课与精品资源共享课。</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精品视频公开课是以学生为服务主体，同时面向社会公众免费开放的科学、文化素质教育网络视频课程与学术讲座;精品资源共享课是以教师和学生为服务主体，同时面向社会学习者的基础课和专业课等各类网络共享课程。</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①精品视频公开课:课程选题不限，内容按专题呈现，每讲应不少于30分钟、不多于50分钟；视频制作推荐使用高清制式，视频压缩推荐采用H.264编码方式，码流率不低于256Kbps，封装格式推荐使用MP4，前期采用标清4:3拍摄时，分辨率请设定为 720×576，前期采用高清16:9拍摄时，分辨率请设定为 1024×576。作品大小不超过700M。</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②精品资源共享课:</w:t>
      </w:r>
      <w:r>
        <w:rPr>
          <w:rFonts w:hint="eastAsia" w:ascii="仿宋_GB2312" w:hAnsi="Calibri" w:eastAsia="仿宋_GB2312"/>
          <w:sz w:val="28"/>
          <w:szCs w:val="28"/>
        </w:rPr>
        <w:t xml:space="preserve"> 将教学内容、教学过程通过网页呈现, 内容应涵盖：课程教学大纲、教案、课堂教学录像、实验指导、教材、参考文献、网络教学课件、习题等；参评作品应体现网络资源共享、互动交流等特性，帮助使用者进行自主探究、答疑讨论、协作学习等教学活动的设计与实施，并能够对教学过程与教学效果进行跟踪、评价与管理。同时应满足在因特网上实时运行的基本条件，如: 安全、稳定和快捷等。</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1．课件</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956"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956" w:type="dxa"/>
            <w:vAlign w:val="center"/>
          </w:tcPr>
          <w:p>
            <w:pPr>
              <w:adjustRightInd w:val="0"/>
              <w:snapToGrid w:val="0"/>
              <w:spacing w:line="400" w:lineRule="exact"/>
              <w:ind w:leftChars="-36" w:hanging="75" w:hangingChars="27"/>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60" w:firstLineChars="200"/>
        <w:rPr>
          <w:rFonts w:ascii="仿宋_GB2312" w:eastAsia="仿宋_GB2312"/>
          <w:sz w:val="28"/>
          <w:szCs w:val="28"/>
        </w:rPr>
      </w:pPr>
      <w:r>
        <w:rPr>
          <w:rFonts w:hint="eastAsia" w:ascii="仿宋_GB2312" w:hAnsi="宋体" w:eastAsia="仿宋_GB2312"/>
          <w:sz w:val="28"/>
        </w:rPr>
        <w:t>3．</w:t>
      </w:r>
      <w:r>
        <w:rPr>
          <w:rFonts w:hint="eastAsia" w:ascii="仿宋_GB2312" w:eastAsia="仿宋_GB2312"/>
          <w:sz w:val="28"/>
          <w:szCs w:val="28"/>
        </w:rPr>
        <w:t>课例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tcPr>
          <w:p>
            <w:pPr>
              <w:spacing w:line="440" w:lineRule="exact"/>
              <w:jc w:val="center"/>
              <w:rPr>
                <w:rFonts w:ascii="仿宋_GB2312" w:hAnsi="宋体" w:eastAsia="仿宋_GB2312"/>
                <w:sz w:val="28"/>
              </w:rPr>
            </w:pPr>
            <w:r>
              <w:rPr>
                <w:rFonts w:hint="eastAsia" w:ascii="仿宋_GB2312" w:hAnsi="宋体" w:eastAsia="仿宋_GB2312"/>
                <w:sz w:val="28"/>
              </w:rPr>
              <w:t>10</w:t>
            </w:r>
          </w:p>
        </w:tc>
        <w:tc>
          <w:tcPr>
            <w:tcW w:w="5760"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Courier New" w:eastAsia="仿宋_GB2312" w:cs="Courier New"/>
          <w:sz w:val="28"/>
          <w:szCs w:val="28"/>
        </w:rPr>
        <w:t>. 教师网络空间</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空间设计</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0</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栏目板块设置分类合理，功能使用方便快捷；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页面导航清晰，颜色协调，简洁美观；</w:t>
            </w:r>
          </w:p>
          <w:p>
            <w:pPr>
              <w:adjustRightInd w:val="0"/>
              <w:snapToGrid w:val="0"/>
              <w:spacing w:line="400" w:lineRule="exact"/>
              <w:rPr>
                <w:rFonts w:ascii="仿宋_GB2312" w:eastAsia="仿宋_GB2312"/>
                <w:sz w:val="28"/>
                <w:szCs w:val="28"/>
              </w:rPr>
            </w:pPr>
            <w:r>
              <w:rPr>
                <w:rFonts w:ascii="仿宋_GB2312" w:eastAsia="仿宋_GB2312"/>
                <w:sz w:val="28"/>
                <w:szCs w:val="28"/>
              </w:rPr>
              <w:t>开设个性化栏目</w:t>
            </w:r>
            <w:r>
              <w:rPr>
                <w:rFonts w:hint="eastAsia" w:ascii="仿宋_GB2312" w:eastAsia="仿宋_GB2312"/>
                <w:sz w:val="28"/>
                <w:szCs w:val="28"/>
              </w:rPr>
              <w:t>，</w:t>
            </w:r>
            <w:r>
              <w:rPr>
                <w:rFonts w:ascii="仿宋_GB2312" w:eastAsia="仿宋_GB2312"/>
                <w:sz w:val="28"/>
                <w:szCs w:val="28"/>
              </w:rPr>
              <w:t>符合教育教学需求</w:t>
            </w:r>
            <w:r>
              <w:rPr>
                <w:rFonts w:hint="eastAsia" w:ascii="仿宋_GB2312" w:eastAsia="仿宋_GB2312"/>
                <w:sz w:val="28"/>
                <w:szCs w:val="28"/>
              </w:rPr>
              <w:t>，</w:t>
            </w:r>
            <w:r>
              <w:rPr>
                <w:rFonts w:ascii="仿宋_GB2312" w:eastAsia="仿宋_GB2312"/>
                <w:sz w:val="28"/>
                <w:szCs w:val="28"/>
              </w:rPr>
              <w:t>体现个人特色</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40</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网络备课教研活动内容丰富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教研形式</w:t>
            </w:r>
            <w:r>
              <w:rPr>
                <w:rFonts w:hint="eastAsia" w:ascii="仿宋_GB2312" w:eastAsia="仿宋_GB2312"/>
                <w:sz w:val="28"/>
                <w:szCs w:val="28"/>
              </w:rPr>
              <w:t>、</w:t>
            </w:r>
            <w:r>
              <w:rPr>
                <w:rFonts w:ascii="仿宋_GB2312" w:eastAsia="仿宋_GB2312"/>
                <w:sz w:val="28"/>
                <w:szCs w:val="28"/>
              </w:rPr>
              <w:t>途径和内容有创新</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ascii="仿宋_GB2312" w:eastAsia="仿宋_GB2312"/>
                <w:sz w:val="28"/>
                <w:szCs w:val="28"/>
              </w:rPr>
              <w:t>利用空间开展多种</w:t>
            </w:r>
            <w:r>
              <w:rPr>
                <w:rFonts w:hint="eastAsia" w:ascii="仿宋_GB2312" w:eastAsia="仿宋_GB2312"/>
                <w:sz w:val="28"/>
                <w:szCs w:val="28"/>
              </w:rPr>
              <w:t>教学活动，过程记录完整；</w:t>
            </w:r>
          </w:p>
          <w:p>
            <w:pPr>
              <w:adjustRightInd w:val="0"/>
              <w:snapToGrid w:val="0"/>
              <w:spacing w:line="400" w:lineRule="exact"/>
              <w:rPr>
                <w:rFonts w:ascii="仿宋_GB2312" w:eastAsia="仿宋_GB2312"/>
                <w:sz w:val="28"/>
                <w:szCs w:val="28"/>
              </w:rPr>
            </w:pPr>
            <w:r>
              <w:rPr>
                <w:rFonts w:ascii="仿宋_GB2312" w:eastAsia="仿宋_GB2312"/>
                <w:sz w:val="28"/>
                <w:szCs w:val="28"/>
              </w:rPr>
              <w:t>对学生进行在线指导答疑</w:t>
            </w:r>
            <w:r>
              <w:rPr>
                <w:rFonts w:hint="eastAsia" w:ascii="仿宋_GB2312" w:eastAsia="仿宋_GB2312"/>
                <w:sz w:val="28"/>
                <w:szCs w:val="28"/>
              </w:rPr>
              <w:t>，在线作业、测试等</w:t>
            </w:r>
            <w:r>
              <w:rPr>
                <w:rFonts w:ascii="仿宋_GB2312" w:eastAsia="仿宋_GB2312"/>
                <w:sz w:val="28"/>
                <w:szCs w:val="28"/>
              </w:rPr>
              <w:t>学习评价活动</w:t>
            </w:r>
            <w:r>
              <w:rPr>
                <w:rFonts w:hint="eastAsia" w:ascii="仿宋_GB2312" w:eastAsia="仿宋_GB2312"/>
                <w:sz w:val="28"/>
                <w:szCs w:val="28"/>
              </w:rPr>
              <w:t>，过程记录完整；</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师生互动、家校互动信息丰富，记录完整，</w:t>
            </w:r>
            <w:r>
              <w:rPr>
                <w:rFonts w:hint="eastAsia" w:ascii="仿宋_GB2312" w:hAnsi="Courier New" w:eastAsia="仿宋_GB2312" w:cs="Courier New"/>
                <w:sz w:val="28"/>
                <w:szCs w:val="28"/>
              </w:rPr>
              <w:t>尊重他人知识产权。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tcPr>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群体深度参与</w:t>
            </w:r>
            <w:r>
              <w:rPr>
                <w:rFonts w:hint="eastAsia" w:ascii="仿宋_GB2312" w:eastAsia="仿宋_GB2312"/>
                <w:sz w:val="28"/>
                <w:szCs w:val="28"/>
              </w:rPr>
              <w:t>，备课授课、网络研修、在线教学、指导评价成效显著；</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空间访问量大，更新及时，活跃度高，交流互动效果突出；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eastAsia="仿宋_GB2312"/>
                <w:sz w:val="28"/>
                <w:szCs w:val="28"/>
              </w:rPr>
              <w:t>教学模式、学习模式、教研模式和教育资源共建共享模式有一定创新。</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5</w:t>
      </w:r>
      <w:r>
        <w:rPr>
          <w:rFonts w:hint="eastAsia" w:ascii="仿宋_GB2312" w:hAnsi="宋体" w:eastAsia="仿宋_GB2312"/>
          <w:sz w:val="28"/>
        </w:rPr>
        <w:t>．（1</w:t>
      </w:r>
      <w:r>
        <w:rPr>
          <w:rFonts w:ascii="仿宋_GB2312" w:hAnsi="宋体" w:eastAsia="仿宋_GB2312"/>
          <w:sz w:val="28"/>
        </w:rPr>
        <w:t>）</w:t>
      </w:r>
      <w:r>
        <w:rPr>
          <w:rFonts w:hint="eastAsia" w:ascii="仿宋_GB2312" w:hAnsi="宋体" w:eastAsia="仿宋_GB2312"/>
          <w:sz w:val="28"/>
        </w:rPr>
        <w:t>教育资源应用教学设计方案</w:t>
      </w:r>
    </w:p>
    <w:tbl>
      <w:tblPr>
        <w:tblStyle w:val="30"/>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816"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学习者特征分析</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81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准确分析学习者的一般特征和初始能力；</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81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教学策略</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教学方式设计符合学习需要和教学目标；</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教学方法选择恰当；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教学过程设计合理；</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教育资源</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816" w:type="dxa"/>
            <w:vAlign w:val="center"/>
          </w:tcPr>
          <w:p>
            <w:pPr>
              <w:adjustRightInd w:val="0"/>
              <w:snapToGrid w:val="0"/>
              <w:rPr>
                <w:rFonts w:ascii="仿宋_GB2312" w:eastAsia="仿宋_GB2312"/>
                <w:sz w:val="28"/>
                <w:szCs w:val="28"/>
              </w:rPr>
            </w:pPr>
            <w:r>
              <w:rPr>
                <w:rFonts w:hint="eastAsia" w:ascii="仿宋_GB2312" w:eastAsia="仿宋_GB2312"/>
                <w:sz w:val="28"/>
                <w:szCs w:val="28"/>
              </w:rPr>
              <w:t>学科教育资源选择恰当;</w:t>
            </w:r>
          </w:p>
          <w:p>
            <w:pPr>
              <w:adjustRightInd w:val="0"/>
              <w:snapToGrid w:val="0"/>
              <w:rPr>
                <w:rFonts w:ascii="仿宋_GB2312" w:eastAsia="仿宋_GB2312"/>
                <w:sz w:val="28"/>
                <w:szCs w:val="28"/>
              </w:rPr>
            </w:pPr>
            <w:r>
              <w:rPr>
                <w:rFonts w:hint="eastAsia" w:ascii="仿宋_GB2312" w:eastAsia="仿宋_GB2312"/>
                <w:sz w:val="28"/>
                <w:szCs w:val="28"/>
              </w:rPr>
              <w:t>信息技术运用合理；</w:t>
            </w:r>
          </w:p>
          <w:p>
            <w:pPr>
              <w:adjustRightInd w:val="0"/>
              <w:snapToGrid w:val="0"/>
              <w:rPr>
                <w:rFonts w:ascii="仿宋_GB2312" w:eastAsia="仿宋_GB2312"/>
                <w:sz w:val="28"/>
                <w:szCs w:val="28"/>
              </w:rPr>
            </w:pPr>
            <w:r>
              <w:rPr>
                <w:rFonts w:hint="eastAsia" w:ascii="仿宋_GB2312" w:eastAsia="仿宋_GB2312"/>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学习者评价</w:t>
            </w:r>
          </w:p>
        </w:tc>
        <w:tc>
          <w:tcPr>
            <w:tcW w:w="900" w:type="dxa"/>
            <w:vAlign w:val="center"/>
          </w:tcPr>
          <w:p>
            <w:pPr>
              <w:adjustRightInd w:val="0"/>
              <w:snapToGrid w:val="0"/>
              <w:spacing w:line="400" w:lineRule="exact"/>
              <w:jc w:val="center"/>
              <w:rPr>
                <w:rFonts w:ascii="仿宋_GB2312" w:hAnsi="宋体" w:eastAsia="仿宋_GB2312"/>
                <w:sz w:val="28"/>
              </w:rPr>
            </w:pPr>
            <w:r>
              <w:rPr>
                <w:rFonts w:ascii="仿宋_GB2312" w:eastAsia="仿宋_GB2312"/>
                <w:sz w:val="28"/>
                <w:szCs w:val="28"/>
              </w:rPr>
              <w:t>20</w:t>
            </w:r>
          </w:p>
        </w:tc>
        <w:tc>
          <w:tcPr>
            <w:tcW w:w="5816"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充分运用信息技术在教学评价中的优势；</w:t>
            </w:r>
          </w:p>
          <w:p>
            <w:pPr>
              <w:adjustRightInd w:val="0"/>
              <w:snapToGrid w:val="0"/>
              <w:spacing w:line="400" w:lineRule="exact"/>
              <w:rPr>
                <w:rFonts w:ascii="仿宋_GB2312" w:hAnsi="宋体" w:eastAsia="仿宋_GB2312"/>
                <w:sz w:val="28"/>
              </w:rPr>
            </w:pPr>
            <w:r>
              <w:rPr>
                <w:rFonts w:hint="eastAsia" w:ascii="仿宋_GB2312" w:hAnsi="宋体" w:eastAsia="仿宋_GB2312"/>
                <w:sz w:val="28"/>
              </w:rPr>
              <w:t>关注个体差异，评价指标和方法多元化；</w:t>
            </w:r>
          </w:p>
          <w:p>
            <w:pPr>
              <w:adjustRightInd w:val="0"/>
              <w:snapToGrid w:val="0"/>
              <w:spacing w:line="400" w:lineRule="exact"/>
              <w:rPr>
                <w:rFonts w:ascii="仿宋_GB2312" w:hAnsi="宋体" w:eastAsia="仿宋_GB2312"/>
                <w:sz w:val="28"/>
              </w:rPr>
            </w:pPr>
            <w:r>
              <w:rPr>
                <w:rFonts w:hint="eastAsia" w:ascii="仿宋_GB2312" w:hAnsi="宋体" w:eastAsia="仿宋_GB2312"/>
                <w:sz w:val="28"/>
              </w:rPr>
              <w:t>注重过程，总结性评价和形成性评价相结合。</w:t>
            </w:r>
          </w:p>
        </w:tc>
      </w:tr>
    </w:tbl>
    <w:p>
      <w:pPr>
        <w:spacing w:line="440" w:lineRule="exact"/>
        <w:ind w:firstLine="560" w:firstLineChars="200"/>
        <w:rPr>
          <w:rFonts w:ascii="仿宋_GB2312" w:eastAsia="仿宋_GB2312"/>
          <w:sz w:val="28"/>
          <w:szCs w:val="28"/>
        </w:rPr>
      </w:pPr>
      <w:r>
        <w:rPr>
          <w:rFonts w:ascii="仿宋_GB2312" w:hAnsi="宋体" w:eastAsia="仿宋_GB2312"/>
          <w:sz w:val="28"/>
        </w:rPr>
        <w:t>（</w:t>
      </w:r>
      <w:r>
        <w:rPr>
          <w:rFonts w:hint="eastAsia" w:ascii="仿宋_GB2312" w:hAnsi="宋体" w:eastAsia="仿宋_GB2312"/>
          <w:sz w:val="28"/>
        </w:rPr>
        <w:t>2</w:t>
      </w:r>
      <w:r>
        <w:rPr>
          <w:rFonts w:ascii="仿宋_GB2312" w:hAnsi="宋体" w:eastAsia="仿宋_GB2312"/>
          <w:sz w:val="28"/>
        </w:rPr>
        <w:t>）</w:t>
      </w:r>
      <w:r>
        <w:rPr>
          <w:rFonts w:hint="eastAsia" w:ascii="仿宋_GB2312" w:hAnsi="宋体" w:eastAsia="仿宋_GB2312"/>
          <w:sz w:val="28"/>
        </w:rPr>
        <w:t>教育资源应用</w:t>
      </w:r>
      <w:r>
        <w:rPr>
          <w:rFonts w:hint="eastAsia" w:ascii="仿宋_GB2312" w:eastAsia="仿宋_GB2312"/>
          <w:sz w:val="28"/>
          <w:szCs w:val="28"/>
        </w:rPr>
        <w:t>课例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tcPr>
          <w:p>
            <w:pPr>
              <w:spacing w:line="440" w:lineRule="exact"/>
              <w:jc w:val="center"/>
              <w:rPr>
                <w:rFonts w:ascii="仿宋_GB2312" w:hAnsi="宋体" w:eastAsia="仿宋_GB2312"/>
                <w:sz w:val="28"/>
              </w:rPr>
            </w:pPr>
            <w:r>
              <w:rPr>
                <w:rFonts w:hint="eastAsia" w:ascii="仿宋_GB2312" w:hAnsi="宋体" w:eastAsia="仿宋_GB2312"/>
                <w:sz w:val="28"/>
              </w:rPr>
              <w:t>10</w:t>
            </w:r>
          </w:p>
        </w:tc>
        <w:tc>
          <w:tcPr>
            <w:tcW w:w="5760"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.精品开放课程</w:t>
      </w:r>
    </w:p>
    <w:p>
      <w:pPr>
        <w:spacing w:line="440" w:lineRule="exact"/>
        <w:ind w:firstLine="540"/>
        <w:rPr>
          <w:rFonts w:ascii="仿宋_GB2312" w:eastAsia="仿宋_GB2312"/>
          <w:bCs/>
          <w:sz w:val="28"/>
          <w:szCs w:val="28"/>
        </w:rPr>
      </w:pPr>
      <w:r>
        <w:rPr>
          <w:rFonts w:hint="eastAsia" w:ascii="仿宋_GB2312" w:eastAsia="仿宋_GB2312"/>
          <w:sz w:val="28"/>
          <w:szCs w:val="28"/>
        </w:rPr>
        <w:t>（1）精品视频公开课</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评选指标</w:t>
            </w:r>
          </w:p>
        </w:tc>
        <w:tc>
          <w:tcPr>
            <w:tcW w:w="900"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分值</w:t>
            </w:r>
          </w:p>
        </w:tc>
        <w:tc>
          <w:tcPr>
            <w:tcW w:w="5760"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教学目标</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15</w:t>
            </w:r>
          </w:p>
        </w:tc>
        <w:tc>
          <w:tcPr>
            <w:tcW w:w="5760" w:type="dxa"/>
            <w:vAlign w:val="center"/>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教学目标明确；</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内容选题恰当。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教学设计</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25</w:t>
            </w:r>
          </w:p>
        </w:tc>
        <w:tc>
          <w:tcPr>
            <w:tcW w:w="5760" w:type="dxa"/>
            <w:vAlign w:val="center"/>
          </w:tcPr>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教学策略合理，根据需求，合理采取启发、讨论、探究式等多种教学手段；</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教学媒体选用恰当；</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符合课程学习特点，符合学习者需求；</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教学过程完整。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教学行为</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25</w:t>
            </w:r>
          </w:p>
        </w:tc>
        <w:tc>
          <w:tcPr>
            <w:tcW w:w="5760" w:type="dxa"/>
            <w:vAlign w:val="center"/>
          </w:tcPr>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语言生动活泼，能展现教师的教学个性和人格魅力；</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鼓励与学生有较好的互动；</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有较强的现场教学感。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教学效果</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15</w:t>
            </w:r>
          </w:p>
        </w:tc>
        <w:tc>
          <w:tcPr>
            <w:tcW w:w="5760" w:type="dxa"/>
            <w:vAlign w:val="center"/>
          </w:tcPr>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授课条理清晰，课程内容熟练；</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教学重点突出，课堂信息量大；</w:t>
            </w:r>
          </w:p>
          <w:p>
            <w:pPr>
              <w:adjustRightInd w:val="0"/>
              <w:snapToGrid w:val="0"/>
              <w:spacing w:line="400" w:lineRule="exact"/>
              <w:jc w:val="left"/>
              <w:rPr>
                <w:rFonts w:ascii="仿宋_GB2312" w:hAnsi="Calibri" w:eastAsia="仿宋_GB2312"/>
                <w:sz w:val="28"/>
                <w:szCs w:val="28"/>
              </w:rPr>
            </w:pPr>
            <w:r>
              <w:rPr>
                <w:rFonts w:hint="eastAsia" w:ascii="仿宋_GB2312" w:hAnsi="Calibri" w:eastAsia="仿宋_GB2312"/>
                <w:sz w:val="28"/>
                <w:szCs w:val="28"/>
              </w:rPr>
              <w:t>积极回复学生的学习需求。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hAnsi="Calibri" w:eastAsia="仿宋_GB2312"/>
                <w:sz w:val="28"/>
                <w:szCs w:val="28"/>
              </w:rPr>
              <w:t>创新与实用</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课程内容与教学形式新颖，具有一定的想象力和个性表现力；</w:t>
            </w:r>
          </w:p>
          <w:p>
            <w:pPr>
              <w:adjustRightInd w:val="0"/>
              <w:snapToGrid w:val="0"/>
              <w:spacing w:line="400" w:lineRule="exact"/>
              <w:rPr>
                <w:rFonts w:ascii="仿宋_GB2312" w:hAnsi="宋体" w:eastAsia="仿宋_GB2312"/>
                <w:sz w:val="28"/>
              </w:rPr>
            </w:pPr>
            <w:r>
              <w:rPr>
                <w:rFonts w:hint="eastAsia" w:ascii="仿宋_GB2312" w:hAnsi="Calibri" w:eastAsia="仿宋_GB2312"/>
                <w:sz w:val="28"/>
                <w:szCs w:val="28"/>
              </w:rPr>
              <w:t>具有推广性。</w:t>
            </w:r>
          </w:p>
        </w:tc>
      </w:tr>
    </w:tbl>
    <w:p>
      <w:pPr>
        <w:spacing w:line="440" w:lineRule="exact"/>
        <w:ind w:firstLine="540"/>
        <w:rPr>
          <w:rFonts w:ascii="仿宋_GB2312" w:eastAsia="仿宋_GB2312"/>
          <w:sz w:val="28"/>
          <w:szCs w:val="28"/>
        </w:rPr>
      </w:pPr>
      <w:r>
        <w:rPr>
          <w:rFonts w:hint="eastAsia" w:ascii="仿宋_GB2312" w:eastAsia="仿宋_GB2312"/>
          <w:sz w:val="28"/>
          <w:szCs w:val="28"/>
        </w:rPr>
        <w:t>（2）精品资源共享课</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评选指标</w:t>
            </w:r>
          </w:p>
        </w:tc>
        <w:tc>
          <w:tcPr>
            <w:tcW w:w="900"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分值</w:t>
            </w:r>
          </w:p>
        </w:tc>
        <w:tc>
          <w:tcPr>
            <w:tcW w:w="5760" w:type="dxa"/>
            <w:vAlign w:val="center"/>
          </w:tcPr>
          <w:p>
            <w:pPr>
              <w:adjustRightInd w:val="0"/>
              <w:snapToGrid w:val="0"/>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教学设计</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30</w:t>
            </w:r>
          </w:p>
        </w:tc>
        <w:tc>
          <w:tcPr>
            <w:tcW w:w="5760" w:type="dxa"/>
            <w:vAlign w:val="center"/>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教学目标明确，内容选材适当；</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教学策略合理，教学媒体选用恰当；</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界面设计合理，风格统一，有必要的交互；</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提供练习，具有学习评价与反馈功能；</w:t>
            </w:r>
          </w:p>
          <w:p>
            <w:pPr>
              <w:adjustRightInd w:val="0"/>
              <w:snapToGrid w:val="0"/>
              <w:spacing w:line="400" w:lineRule="exact"/>
              <w:rPr>
                <w:rFonts w:ascii="仿宋_GB2312" w:eastAsia="仿宋_GB2312"/>
                <w:sz w:val="28"/>
                <w:szCs w:val="28"/>
              </w:rPr>
            </w:pPr>
            <w:r>
              <w:rPr>
                <w:rFonts w:hint="eastAsia" w:ascii="仿宋_GB2312" w:hAnsi="Calibri" w:eastAsia="仿宋_GB2312"/>
                <w:sz w:val="28"/>
                <w:szCs w:val="28"/>
              </w:rPr>
              <w:t>教学过程完整</w:t>
            </w:r>
            <w:r>
              <w:rPr>
                <w:rFonts w:hint="eastAsia" w:ascii="仿宋_GB2312" w:eastAsia="仿宋_GB2312"/>
                <w:sz w:val="28"/>
                <w:szCs w:val="28"/>
              </w:rPr>
              <w:t>；</w:t>
            </w:r>
          </w:p>
          <w:p>
            <w:pPr>
              <w:adjustRightInd w:val="0"/>
              <w:snapToGrid w:val="0"/>
              <w:spacing w:line="400" w:lineRule="exact"/>
              <w:rPr>
                <w:rFonts w:ascii="仿宋_GB2312" w:hAnsi="Calibri" w:eastAsia="仿宋_GB2312"/>
                <w:sz w:val="28"/>
                <w:szCs w:val="28"/>
              </w:rPr>
            </w:pPr>
            <w:r>
              <w:rPr>
                <w:rFonts w:hint="eastAsia" w:ascii="仿宋_GB2312" w:eastAsia="仿宋_GB2312"/>
                <w:sz w:val="28"/>
                <w:szCs w:val="28"/>
              </w:rPr>
              <w:t>考虑学习者通过网络自主学习的特点</w:t>
            </w:r>
            <w:r>
              <w:rPr>
                <w:rFonts w:hint="eastAsia" w:ascii="仿宋_GB2312"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课程内容</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25</w:t>
            </w:r>
          </w:p>
        </w:tc>
        <w:tc>
          <w:tcPr>
            <w:tcW w:w="5760" w:type="dxa"/>
            <w:vAlign w:val="center"/>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内容科学，表述准确，术语规范；</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课程内容体系完整；</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教育资源内容丰富，呈现结构合理。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技术运用</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25</w:t>
            </w:r>
          </w:p>
        </w:tc>
        <w:tc>
          <w:tcPr>
            <w:tcW w:w="5760" w:type="dxa"/>
            <w:vAlign w:val="center"/>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教学管理功能方便、实用；</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具备良好的师生、生生交互环境；</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媒体播放可控；</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 xml:space="preserve">过程可控，导航清晰、明确。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创新与实用</w:t>
            </w:r>
          </w:p>
        </w:tc>
        <w:tc>
          <w:tcPr>
            <w:tcW w:w="900" w:type="dxa"/>
            <w:vAlign w:val="center"/>
          </w:tcPr>
          <w:p>
            <w:pPr>
              <w:adjustRightInd w:val="0"/>
              <w:snapToGrid w:val="0"/>
              <w:spacing w:line="400" w:lineRule="exact"/>
              <w:jc w:val="center"/>
              <w:rPr>
                <w:rFonts w:ascii="仿宋_GB2312" w:hAnsi="Calibri" w:eastAsia="仿宋_GB2312"/>
                <w:sz w:val="28"/>
                <w:szCs w:val="28"/>
              </w:rPr>
            </w:pPr>
            <w:r>
              <w:rPr>
                <w:rFonts w:hint="eastAsia" w:ascii="仿宋_GB2312" w:hAnsi="Calibri" w:eastAsia="仿宋_GB2312"/>
                <w:sz w:val="28"/>
                <w:szCs w:val="28"/>
              </w:rPr>
              <w:t>20</w:t>
            </w:r>
          </w:p>
        </w:tc>
        <w:tc>
          <w:tcPr>
            <w:tcW w:w="5760" w:type="dxa"/>
          </w:tcPr>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立意新颖，具有一定的想象力和个性表现力；</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适于网络共享；</w:t>
            </w:r>
          </w:p>
          <w:p>
            <w:pPr>
              <w:adjustRightInd w:val="0"/>
              <w:snapToGrid w:val="0"/>
              <w:spacing w:line="400" w:lineRule="exact"/>
              <w:rPr>
                <w:rFonts w:ascii="仿宋_GB2312" w:hAnsi="Calibri" w:eastAsia="仿宋_GB2312"/>
                <w:sz w:val="28"/>
                <w:szCs w:val="28"/>
              </w:rPr>
            </w:pPr>
            <w:r>
              <w:rPr>
                <w:rFonts w:hint="eastAsia" w:ascii="仿宋_GB2312" w:hAnsi="Calibri" w:eastAsia="仿宋_GB2312"/>
                <w:sz w:val="28"/>
                <w:szCs w:val="28"/>
              </w:rPr>
              <w:t>运用于实际教学中，具有推广性。</w:t>
            </w:r>
          </w:p>
        </w:tc>
      </w:tr>
    </w:tbl>
    <w:p>
      <w:pPr>
        <w:spacing w:line="4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4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440" w:lineRule="exact"/>
        <w:ind w:firstLine="555"/>
        <w:rPr>
          <w:rFonts w:ascii="仿宋_GB2312" w:eastAsia="仿宋_GB2312"/>
          <w:b/>
          <w:sz w:val="28"/>
          <w:szCs w:val="28"/>
        </w:rPr>
      </w:pPr>
      <w:r>
        <w:rPr>
          <w:rFonts w:hint="eastAsia" w:ascii="仿宋_GB2312" w:hAnsi="宋体" w:eastAsia="仿宋_GB2312"/>
          <w:sz w:val="28"/>
        </w:rPr>
        <w:t>2.</w:t>
      </w:r>
      <w:r>
        <w:rPr>
          <w:rFonts w:hint="eastAsia" w:ascii="仿宋_GB2312" w:eastAsia="仿宋_GB2312"/>
          <w:sz w:val="28"/>
        </w:rPr>
        <w:t>杜绝弄虚作假行为。一经发现，取消参加资格。</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440" w:lineRule="exact"/>
        <w:rPr>
          <w:rFonts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1.资料的引用应注明出处。如引起知识产权异议和纠纷，其责任由作品作者承担。</w:t>
      </w:r>
    </w:p>
    <w:p>
      <w:pPr>
        <w:spacing w:line="440" w:lineRule="exact"/>
        <w:ind w:firstLine="560"/>
        <w:rPr>
          <w:rFonts w:ascii="仿宋_GB2312" w:eastAsia="仿宋_GB2312"/>
          <w:sz w:val="28"/>
          <w:szCs w:val="28"/>
        </w:rPr>
      </w:pPr>
      <w:r>
        <w:rPr>
          <w:rFonts w:hint="eastAsia" w:ascii="仿宋_GB2312" w:eastAsia="仿宋_GB2312"/>
          <w:sz w:val="28"/>
          <w:szCs w:val="28"/>
        </w:rPr>
        <w:t>2.“课件”、</w:t>
      </w:r>
      <w:r>
        <w:rPr>
          <w:rFonts w:hint="eastAsia" w:ascii="仿宋_GB2312" w:hAnsi="Courier New" w:eastAsia="仿宋_GB2312" w:cs="Courier New"/>
          <w:sz w:val="28"/>
          <w:szCs w:val="28"/>
        </w:rPr>
        <w:t>“微课”、</w:t>
      </w:r>
      <w:r>
        <w:rPr>
          <w:rFonts w:hint="eastAsia" w:ascii="仿宋_GB2312" w:eastAsia="仿宋_GB2312"/>
          <w:sz w:val="28"/>
          <w:szCs w:val="28"/>
        </w:rPr>
        <w:t>“课例”、</w:t>
      </w:r>
      <w:r>
        <w:rPr>
          <w:rFonts w:hint="eastAsia" w:ascii="仿宋_GB2312" w:hAnsi="宋体" w:eastAsia="仿宋_GB2312"/>
          <w:sz w:val="28"/>
        </w:rPr>
        <w:t>“教师网络空间”、</w:t>
      </w:r>
      <w:r>
        <w:rPr>
          <w:rFonts w:hint="eastAsia" w:ascii="仿宋_GB2312" w:hAnsi="Courier New" w:eastAsia="仿宋_GB2312" w:cs="Courier New"/>
          <w:sz w:val="28"/>
          <w:szCs w:val="28"/>
        </w:rPr>
        <w:t>“教育资源应用教学设计方案”、“</w:t>
      </w:r>
      <w:r>
        <w:rPr>
          <w:rFonts w:ascii="仿宋_GB2312" w:hAnsi="Courier New" w:eastAsia="仿宋_GB2312" w:cs="Courier New"/>
          <w:sz w:val="28"/>
          <w:szCs w:val="28"/>
        </w:rPr>
        <w:t>教育</w:t>
      </w:r>
      <w:r>
        <w:rPr>
          <w:rFonts w:hint="eastAsia" w:ascii="仿宋_GB2312" w:hAnsi="Courier New" w:eastAsia="仿宋_GB2312" w:cs="Courier New"/>
          <w:sz w:val="28"/>
          <w:szCs w:val="28"/>
        </w:rPr>
        <w:t>资源应用课例”，</w:t>
      </w:r>
      <w:r>
        <w:rPr>
          <w:rFonts w:hint="eastAsia" w:ascii="仿宋_GB2312" w:hAnsi="宋体" w:eastAsia="仿宋_GB2312"/>
          <w:sz w:val="28"/>
        </w:rPr>
        <w:t>每件作品作者最多不超过3人；</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“精品开放课程”每件作品作者最多不超过5人；</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不接受以单位名义集体创作的作品。</w:t>
      </w:r>
    </w:p>
    <w:p>
      <w:pPr>
        <w:ind w:firstLine="627" w:firstLineChars="196"/>
        <w:rPr>
          <w:rFonts w:ascii="黑体" w:hAnsi="黑体" w:eastAsia="黑体"/>
          <w:sz w:val="32"/>
          <w:szCs w:val="32"/>
        </w:rPr>
      </w:pPr>
      <w:r>
        <w:rPr>
          <w:rFonts w:hint="eastAsia" w:ascii="黑体" w:hAnsi="黑体" w:eastAsia="黑体"/>
          <w:sz w:val="32"/>
          <w:szCs w:val="32"/>
        </w:rPr>
        <w:t>三、评选及交流展示</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1.技术测试：包括资格审查、作品安装、运行测试。</w:t>
      </w:r>
    </w:p>
    <w:p>
      <w:pPr>
        <w:spacing w:line="440" w:lineRule="exact"/>
        <w:ind w:firstLine="560" w:firstLineChars="200"/>
        <w:rPr>
          <w:rFonts w:ascii="仿宋_GB2312" w:eastAsia="仿宋_GB2312"/>
          <w:sz w:val="28"/>
          <w:szCs w:val="28"/>
        </w:rPr>
      </w:pPr>
      <w:r>
        <w:rPr>
          <w:rFonts w:hint="eastAsia" w:ascii="仿宋_GB2312" w:hAnsi="宋体" w:eastAsia="仿宋_GB2312"/>
          <w:sz w:val="28"/>
        </w:rPr>
        <w:t>2.专家评选：由大奖赛组委会聘请有关专家、教师组成专家评选组，</w:t>
      </w:r>
      <w:r>
        <w:rPr>
          <w:rFonts w:hint="eastAsia" w:ascii="仿宋_GB2312" w:eastAsia="仿宋_GB2312"/>
          <w:sz w:val="28"/>
          <w:szCs w:val="28"/>
        </w:rPr>
        <w:t>对通过技术测试的作品</w:t>
      </w:r>
      <w:r>
        <w:rPr>
          <w:rFonts w:hint="eastAsia" w:ascii="仿宋_GB2312" w:hAnsi="宋体" w:eastAsia="仿宋_GB2312"/>
          <w:sz w:val="28"/>
        </w:rPr>
        <w:t>进行评选。</w:t>
      </w:r>
      <w:r>
        <w:rPr>
          <w:rFonts w:hint="eastAsia" w:ascii="仿宋_GB2312" w:eastAsia="仿宋_GB2312"/>
          <w:sz w:val="28"/>
          <w:szCs w:val="28"/>
        </w:rPr>
        <w:t>在综合评定基础上，提出作品获奖等级建议和参加现场交流的作品名单。评选时，省级报送作品的排序不作为评选参考指标。</w:t>
      </w:r>
    </w:p>
    <w:p>
      <w:pPr>
        <w:spacing w:line="420" w:lineRule="exact"/>
        <w:ind w:firstLine="561"/>
        <w:rPr>
          <w:rFonts w:ascii="仿宋_GB2312" w:eastAsia="仿宋_GB2312"/>
          <w:sz w:val="28"/>
          <w:szCs w:val="28"/>
        </w:rPr>
      </w:pPr>
      <w:bookmarkStart w:id="8" w:name="_Toc101167293"/>
      <w:r>
        <w:rPr>
          <w:rFonts w:hint="eastAsia" w:ascii="仿宋_GB2312" w:eastAsia="仿宋_GB2312"/>
          <w:sz w:val="28"/>
          <w:szCs w:val="28"/>
        </w:rPr>
        <w:t>3.交流展示：现场</w:t>
      </w:r>
      <w:r>
        <w:rPr>
          <w:rFonts w:ascii="仿宋_GB2312" w:eastAsia="仿宋_GB2312"/>
          <w:sz w:val="28"/>
          <w:szCs w:val="28"/>
        </w:rPr>
        <w:t>交流展示</w:t>
      </w:r>
      <w:r>
        <w:rPr>
          <w:rFonts w:hint="eastAsia" w:ascii="仿宋_GB2312" w:eastAsia="仿宋_GB2312"/>
          <w:sz w:val="28"/>
          <w:szCs w:val="28"/>
        </w:rPr>
        <w:t>名单于2017年10月下旬在大奖赛网站公布，11月中上旬举办现场交流展示。</w:t>
      </w:r>
      <w:bookmarkEnd w:id="8"/>
      <w:r>
        <w:rPr>
          <w:rFonts w:hint="eastAsia" w:ascii="仿宋_GB2312" w:eastAsia="仿宋_GB2312"/>
          <w:sz w:val="28"/>
          <w:szCs w:val="28"/>
        </w:rPr>
        <w:t>相关通知文件另发。</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4.奖项设置</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各参赛项目分别设置一等奖、二等奖和三等奖。根据各单位活动组织情况确定“优秀组织奖”。</w:t>
      </w:r>
    </w:p>
    <w:p>
      <w:pPr>
        <w:ind w:firstLine="627" w:firstLineChars="196"/>
        <w:rPr>
          <w:rFonts w:ascii="黑体" w:hAnsi="黑体" w:eastAsia="黑体"/>
          <w:sz w:val="32"/>
          <w:szCs w:val="32"/>
        </w:rPr>
      </w:pPr>
      <w:bookmarkStart w:id="9" w:name="_Toc101167300"/>
      <w:r>
        <w:rPr>
          <w:rFonts w:hint="eastAsia" w:ascii="黑体" w:hAnsi="黑体" w:eastAsia="黑体"/>
          <w:sz w:val="32"/>
          <w:szCs w:val="32"/>
          <w:lang w:eastAsia="zh-CN"/>
        </w:rPr>
        <w:t>四</w:t>
      </w:r>
      <w:r>
        <w:rPr>
          <w:rFonts w:hint="eastAsia" w:ascii="黑体" w:hAnsi="黑体" w:eastAsia="黑体"/>
          <w:sz w:val="32"/>
          <w:szCs w:val="32"/>
        </w:rPr>
        <w:t>、组织</w:t>
      </w:r>
      <w:bookmarkEnd w:id="9"/>
      <w:r>
        <w:rPr>
          <w:rFonts w:hint="eastAsia" w:ascii="黑体" w:hAnsi="黑体" w:eastAsia="黑体"/>
          <w:sz w:val="32"/>
          <w:szCs w:val="32"/>
        </w:rPr>
        <w:t>工作</w:t>
      </w:r>
      <w:bookmarkStart w:id="13" w:name="_GoBack"/>
      <w:bookmarkEnd w:id="13"/>
    </w:p>
    <w:p>
      <w:pPr>
        <w:spacing w:line="440" w:lineRule="exact"/>
        <w:ind w:firstLine="561"/>
        <w:rPr>
          <w:rFonts w:ascii="楷体_GB2312" w:eastAsia="楷体_GB2312"/>
          <w:b/>
          <w:bCs/>
          <w:sz w:val="28"/>
          <w:szCs w:val="28"/>
        </w:rPr>
      </w:pPr>
      <w:bookmarkStart w:id="10" w:name="_Toc101167301"/>
      <w:r>
        <w:rPr>
          <w:rFonts w:hint="eastAsia" w:ascii="楷体_GB2312" w:eastAsia="楷体_GB2312"/>
          <w:b/>
          <w:bCs/>
          <w:sz w:val="28"/>
          <w:szCs w:val="28"/>
        </w:rPr>
        <w:t>（一）组织领导</w:t>
      </w:r>
      <w:bookmarkEnd w:id="10"/>
    </w:p>
    <w:p>
      <w:pPr>
        <w:spacing w:line="440" w:lineRule="exact"/>
        <w:ind w:firstLine="560" w:firstLineChars="200"/>
        <w:rPr>
          <w:rFonts w:ascii="仿宋_GB2312" w:eastAsia="仿宋_GB2312"/>
          <w:sz w:val="28"/>
          <w:szCs w:val="28"/>
        </w:rPr>
      </w:pPr>
      <w:r>
        <w:rPr>
          <w:rFonts w:hint="eastAsia" w:ascii="仿宋_GB2312" w:hAnsi="宋体" w:eastAsia="仿宋_GB2312"/>
          <w:bCs/>
          <w:sz w:val="28"/>
          <w:szCs w:val="28"/>
        </w:rPr>
        <w:t>“</w:t>
      </w:r>
      <w:r>
        <w:rPr>
          <w:rFonts w:hint="eastAsia" w:ascii="仿宋_GB2312" w:eastAsia="仿宋_GB2312"/>
          <w:sz w:val="28"/>
          <w:szCs w:val="28"/>
        </w:rPr>
        <w:t>大奖赛”由中央电化教育馆主办。</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“大奖赛组委会”办公室设在中央电化教育馆项目部，主要承担具体组织工作。</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“大奖赛”重要信息和相关事宜将陆续在“大奖赛”网站上公布。</w:t>
      </w:r>
    </w:p>
    <w:p>
      <w:pPr>
        <w:spacing w:line="440" w:lineRule="exact"/>
        <w:rPr>
          <w:rFonts w:ascii="楷体_GB2312" w:eastAsia="楷体_GB2312"/>
          <w:sz w:val="28"/>
          <w:szCs w:val="28"/>
        </w:rPr>
      </w:pPr>
      <w:r>
        <w:rPr>
          <w:rFonts w:hint="eastAsia" w:ascii="仿宋_GB2312" w:eastAsia="仿宋_GB2312"/>
          <w:sz w:val="28"/>
          <w:szCs w:val="28"/>
        </w:rPr>
        <w:br w:type="page"/>
      </w:r>
      <w:bookmarkStart w:id="11" w:name="_Toc101167304"/>
      <w:r>
        <w:rPr>
          <w:rFonts w:hint="eastAsia" w:ascii="楷体_GB2312" w:eastAsia="楷体_GB2312"/>
          <w:sz w:val="28"/>
          <w:szCs w:val="28"/>
        </w:rPr>
        <w:t>附表1</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作品登记表</w:t>
      </w:r>
    </w:p>
    <w:p>
      <w:pPr>
        <w:spacing w:line="440" w:lineRule="exact"/>
        <w:ind w:firstLine="154" w:firstLineChars="73"/>
        <w:jc w:val="center"/>
        <w:rPr>
          <w:rFonts w:ascii="仿宋_GB2312" w:eastAsia="仿宋_GB2312"/>
          <w:b/>
          <w:szCs w:val="21"/>
        </w:rPr>
      </w:pPr>
      <w:r>
        <w:rPr>
          <w:rFonts w:hint="eastAsia" w:ascii="仿宋_GB2312" w:eastAsia="仿宋_GB2312"/>
          <w:b/>
          <w:szCs w:val="21"/>
        </w:rPr>
        <w:t>（该表格信息均在网上填写并确认）</w:t>
      </w:r>
    </w:p>
    <w:p>
      <w:pPr>
        <w:spacing w:line="440" w:lineRule="exact"/>
        <w:ind w:left="420" w:leftChars="200" w:firstLine="4597" w:firstLineChars="1642"/>
        <w:rPr>
          <w:rFonts w:ascii="仿宋_GB2312" w:eastAsia="仿宋_GB2312"/>
          <w:sz w:val="28"/>
          <w:szCs w:val="28"/>
        </w:rPr>
      </w:pPr>
    </w:p>
    <w:p>
      <w:pPr>
        <w:spacing w:line="440" w:lineRule="exact"/>
        <w:ind w:left="420" w:leftChars="200" w:firstLine="4597" w:firstLineChars="1642"/>
        <w:rPr>
          <w:rFonts w:ascii="仿宋_GB2312" w:eastAsia="仿宋_GB2312"/>
          <w:sz w:val="28"/>
          <w:szCs w:val="28"/>
          <w:u w:val="single"/>
        </w:rPr>
      </w:pPr>
      <w:r>
        <w:rPr>
          <w:rFonts w:hint="eastAsia" w:ascii="仿宋_GB2312" w:eastAsia="仿宋_GB2312"/>
          <w:sz w:val="28"/>
          <w:szCs w:val="28"/>
        </w:rPr>
        <w:t>作品编号：</w:t>
      </w:r>
      <w:r>
        <w:rPr>
          <w:rFonts w:hint="eastAsia" w:ascii="仿宋_GB2312" w:eastAsia="仿宋_GB2312"/>
          <w:sz w:val="28"/>
          <w:szCs w:val="28"/>
          <w:u w:val="single"/>
        </w:rPr>
        <w:t xml:space="preserve">                </w:t>
      </w:r>
    </w:p>
    <w:p>
      <w:pPr>
        <w:spacing w:line="440" w:lineRule="exact"/>
        <w:ind w:left="420" w:leftChars="200" w:firstLine="3778" w:firstLineChars="1344"/>
        <w:rPr>
          <w:rFonts w:ascii="仿宋_GB2312" w:eastAsia="仿宋_GB2312"/>
          <w:b/>
          <w:sz w:val="28"/>
          <w:szCs w:val="28"/>
          <w:u w:val="single"/>
        </w:rPr>
      </w:pPr>
    </w:p>
    <w:tbl>
      <w:tblPr>
        <w:tblStyle w:val="30"/>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p>
            <w:pPr>
              <w:adjustRightInd w:val="0"/>
              <w:snapToGrid w:val="0"/>
              <w:rPr>
                <w:rFonts w:ascii="仿宋_GB2312" w:hAnsi="Calibri" w:eastAsia="仿宋_GB2312"/>
                <w:sz w:val="24"/>
              </w:rPr>
            </w:pPr>
            <w:r>
              <w:rPr>
                <w:rFonts w:hint="eastAsia" w:ascii="仿宋_GB2312" w:hAnsi="Calibri" w:eastAsia="仿宋_GB2312"/>
                <w:sz w:val="24"/>
              </w:rPr>
              <w:t>翻转课堂教学课例□</w:t>
            </w:r>
          </w:p>
          <w:p>
            <w:pPr>
              <w:adjustRightInd w:val="0"/>
              <w:snapToGrid w:val="0"/>
              <w:rPr>
                <w:rFonts w:ascii="仿宋_GB2312" w:hAnsi="Calibri" w:eastAsia="仿宋_GB2312"/>
                <w:sz w:val="24"/>
              </w:rPr>
            </w:pPr>
            <w:r>
              <w:rPr>
                <w:rFonts w:ascii="仿宋_GB2312" w:hAnsi="Calibri" w:eastAsia="仿宋_GB2312"/>
                <w:sz w:val="24"/>
              </w:rPr>
              <w:t>基于网络的</w:t>
            </w:r>
            <w:r>
              <w:rPr>
                <w:rFonts w:hint="eastAsia" w:ascii="仿宋_GB2312" w:hAnsi="Calibri" w:eastAsia="仿宋_GB2312"/>
                <w:sz w:val="24"/>
              </w:rPr>
              <w:t>PBL教学课例□</w:t>
            </w:r>
          </w:p>
          <w:p>
            <w:pPr>
              <w:adjustRightInd w:val="0"/>
              <w:snapToGrid w:val="0"/>
              <w:rPr>
                <w:rFonts w:ascii="仿宋_GB2312" w:hAnsi="Calibri" w:eastAsia="仿宋_GB2312"/>
                <w:sz w:val="24"/>
              </w:rPr>
            </w:pPr>
            <w:r>
              <w:rPr>
                <w:rFonts w:ascii="仿宋_GB2312" w:hAnsi="Calibri" w:eastAsia="仿宋_GB2312"/>
                <w:sz w:val="24"/>
              </w:rPr>
              <w:t>一对一数字化学习综合课例</w:t>
            </w:r>
            <w:r>
              <w:rPr>
                <w:rFonts w:hint="eastAsia" w:ascii="仿宋_GB2312" w:hAnsi="Calibri" w:eastAsia="仿宋_GB2312"/>
                <w:sz w:val="24"/>
              </w:rPr>
              <w:t>□</w:t>
            </w:r>
          </w:p>
          <w:p>
            <w:pPr>
              <w:adjustRightInd w:val="0"/>
              <w:snapToGrid w:val="0"/>
              <w:rPr>
                <w:rFonts w:ascii="仿宋_GB2312" w:hAnsi="Calibri" w:eastAsia="仿宋_GB2312"/>
                <w:sz w:val="24"/>
              </w:rPr>
            </w:pPr>
            <w:r>
              <w:rPr>
                <w:rFonts w:ascii="仿宋_GB2312" w:hAnsi="Calibri" w:eastAsia="仿宋_GB2312"/>
                <w:sz w:val="24"/>
              </w:rPr>
              <w:t>移动终端课例</w:t>
            </w:r>
            <w:r>
              <w:rPr>
                <w:rFonts w:hint="eastAsia" w:ascii="仿宋_GB2312" w:hAnsi="Calibri" w:eastAsia="仿宋_GB2312"/>
                <w:sz w:val="24"/>
              </w:rPr>
              <w:t>□</w:t>
            </w:r>
          </w:p>
          <w:p>
            <w:pPr>
              <w:adjustRightInd w:val="0"/>
              <w:snapToGrid w:val="0"/>
              <w:rPr>
                <w:rFonts w:ascii="仿宋_GB2312" w:hAnsi="Calibri" w:eastAsia="仿宋_GB2312"/>
                <w:sz w:val="24"/>
              </w:rPr>
            </w:pPr>
            <w:r>
              <w:rPr>
                <w:rFonts w:hint="eastAsia" w:ascii="仿宋_GB2312" w:hAnsi="Calibri" w:eastAsia="仿宋_GB2312"/>
                <w:sz w:val="24"/>
              </w:rPr>
              <w:t>创意创作教学课例□</w:t>
            </w:r>
          </w:p>
          <w:p>
            <w:pPr>
              <w:adjustRightInd w:val="0"/>
              <w:snapToGrid w:val="0"/>
              <w:rPr>
                <w:rFonts w:ascii="仿宋_GB2312" w:hAnsi="Calibri" w:eastAsia="仿宋_GB2312"/>
                <w:sz w:val="24"/>
              </w:rPr>
            </w:pPr>
            <w:r>
              <w:rPr>
                <w:rFonts w:hint="eastAsia" w:ascii="仿宋_GB2312" w:hAnsi="Calibri" w:eastAsia="仿宋_GB2312"/>
                <w:sz w:val="24"/>
              </w:rPr>
              <w:t>云端一体互动课堂教学课例□</w:t>
            </w:r>
          </w:p>
          <w:p>
            <w:pPr>
              <w:adjustRightInd w:val="0"/>
              <w:snapToGrid w:val="0"/>
              <w:jc w:val="left"/>
              <w:rPr>
                <w:rFonts w:ascii="仿宋_GB2312" w:eastAsia="仿宋_GB2312"/>
                <w:sz w:val="24"/>
              </w:rPr>
            </w:pPr>
            <w:r>
              <w:rPr>
                <w:rFonts w:hint="eastAsia" w:ascii="仿宋_GB2312" w:hAnsi="Calibri" w:eastAsia="仿宋_GB2312"/>
                <w:sz w:val="24"/>
              </w:rPr>
              <w:t>教师网络空间□</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小学□</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初中□</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高中□</w:t>
            </w:r>
          </w:p>
          <w:p>
            <w:pPr>
              <w:adjustRightInd w:val="0"/>
              <w:snapToGrid w:val="0"/>
              <w:spacing w:line="44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教学点组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教育资源应用教学设计方案□</w:t>
            </w:r>
          </w:p>
          <w:p>
            <w:pPr>
              <w:adjustRightInd w:val="0"/>
              <w:snapToGrid w:val="0"/>
              <w:rPr>
                <w:rFonts w:ascii="仿宋_GB2312" w:hAnsi="Calibri" w:eastAsia="仿宋_GB2312"/>
                <w:sz w:val="24"/>
              </w:rPr>
            </w:pPr>
            <w:r>
              <w:rPr>
                <w:rFonts w:hint="eastAsia" w:ascii="仿宋_GB2312" w:hAnsi="Calibri" w:eastAsia="仿宋_GB2312"/>
                <w:sz w:val="24"/>
              </w:rPr>
              <w:t>教育资源应用课例□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精品开放课程  精品视频公开课□</w:t>
            </w:r>
          </w:p>
          <w:p>
            <w:pPr>
              <w:adjustRightInd w:val="0"/>
              <w:snapToGrid w:val="0"/>
              <w:rPr>
                <w:rFonts w:ascii="仿宋_GB2312" w:hAnsi="Calibri" w:eastAsia="仿宋_GB2312"/>
                <w:sz w:val="24"/>
              </w:rPr>
            </w:pPr>
            <w:r>
              <w:rPr>
                <w:rFonts w:hint="eastAsia" w:ascii="仿宋_GB2312" w:hAnsi="Calibri" w:eastAsia="仿宋_GB2312"/>
                <w:sz w:val="24"/>
              </w:rPr>
              <w:t xml:space="preserve">              精品资源共享课□</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精品开放课程  精品视频公开课□</w:t>
            </w:r>
          </w:p>
          <w:p>
            <w:pPr>
              <w:adjustRightInd w:val="0"/>
              <w:snapToGrid w:val="0"/>
              <w:rPr>
                <w:rFonts w:ascii="仿宋_GB2312" w:hAnsi="Calibri" w:eastAsia="仿宋_GB2312"/>
                <w:sz w:val="24"/>
              </w:rPr>
            </w:pPr>
            <w:r>
              <w:rPr>
                <w:rFonts w:hint="eastAsia" w:ascii="仿宋_GB2312" w:hAnsi="Calibri" w:eastAsia="仿宋_GB2312"/>
                <w:sz w:val="24"/>
              </w:rPr>
              <w:t xml:space="preserve">              精品资源共享课□</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r>
              <w:rPr>
                <w:rFonts w:hint="eastAsia" w:ascii="仿宋_GB2312" w:hAnsi="Calibri" w:eastAsia="仿宋_GB2312"/>
                <w:b/>
                <w:szCs w:val="21"/>
              </w:rPr>
              <w:t>（请按各项目限额人数准确填写）</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r>
              <w:rPr>
                <w:rFonts w:ascii="仿宋_GB2312" w:hAnsi="宋体" w:eastAsia="仿宋_GB2312"/>
                <w:b/>
                <w:sz w:val="24"/>
              </w:rPr>
              <w:t>仅限</w:t>
            </w:r>
          </w:p>
          <w:p>
            <w:pPr>
              <w:adjustRightInd w:val="0"/>
              <w:snapToGrid w:val="0"/>
              <w:spacing w:line="440" w:lineRule="exact"/>
              <w:jc w:val="center"/>
              <w:rPr>
                <w:rFonts w:ascii="仿宋_GB2312" w:hAnsi="宋体" w:eastAsia="仿宋_GB2312"/>
                <w:b/>
                <w:sz w:val="24"/>
              </w:rPr>
            </w:pPr>
            <w:r>
              <w:rPr>
                <w:rFonts w:ascii="仿宋_GB2312" w:hAnsi="宋体" w:eastAsia="仿宋_GB2312"/>
                <w:b/>
                <w:sz w:val="24"/>
              </w:rPr>
              <w:t>精品开放课程填写</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8" w:hRule="atLeast"/>
          <w:jc w:val="center"/>
        </w:trPr>
        <w:tc>
          <w:tcPr>
            <w:tcW w:w="1132" w:type="dxa"/>
            <w:vMerge w:val="continue"/>
            <w:tcBorders>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r>
              <w:rPr>
                <w:rFonts w:ascii="仿宋_GB2312" w:hAnsi="宋体" w:eastAsia="仿宋_GB2312"/>
                <w:b/>
                <w:sz w:val="24"/>
              </w:rPr>
              <w:t>仅限</w:t>
            </w:r>
          </w:p>
          <w:p>
            <w:pPr>
              <w:adjustRightInd w:val="0"/>
              <w:snapToGrid w:val="0"/>
              <w:spacing w:line="440" w:lineRule="exact"/>
              <w:jc w:val="center"/>
              <w:rPr>
                <w:rFonts w:ascii="仿宋_GB2312" w:hAnsi="宋体" w:eastAsia="仿宋_GB2312"/>
                <w:b/>
                <w:sz w:val="24"/>
              </w:rPr>
            </w:pPr>
            <w:r>
              <w:rPr>
                <w:rFonts w:ascii="仿宋_GB2312" w:hAnsi="宋体" w:eastAsia="仿宋_GB2312"/>
                <w:b/>
                <w:sz w:val="24"/>
              </w:rPr>
              <w:t>精品开放课程填写</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联系人</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通信地址</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邮编</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tcPr>
          <w:p>
            <w:pPr>
              <w:spacing w:line="440" w:lineRule="exact"/>
              <w:ind w:firstLine="560"/>
              <w:rPr>
                <w:rFonts w:ascii="仿宋_GB2312" w:hAnsi="Calibri" w:eastAsia="仿宋_GB2312"/>
                <w:sz w:val="28"/>
                <w:szCs w:val="28"/>
              </w:rPr>
            </w:pPr>
          </w:p>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（包括作品简介、特色亮点等，字数在200-300之间）</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（安装运行所需环境，必要的用户名、密码等）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在“大奖赛”网站共享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4.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5.           </w:t>
      </w:r>
    </w:p>
    <w:p>
      <w:pPr>
        <w:spacing w:line="440" w:lineRule="exact"/>
        <w:ind w:firstLine="560" w:firstLineChars="200"/>
        <w:rPr>
          <w:rFonts w:ascii="仿宋_GB2312" w:hAnsi="Calibri" w:eastAsia="仿宋_GB2312"/>
          <w:sz w:val="28"/>
          <w:szCs w:val="28"/>
        </w:rPr>
      </w:pPr>
    </w:p>
    <w:p>
      <w:pPr>
        <w:tabs>
          <w:tab w:val="left" w:pos="5645"/>
        </w:tabs>
        <w:spacing w:line="440" w:lineRule="exact"/>
        <w:ind w:firstLine="560" w:firstLineChars="200"/>
        <w:rPr>
          <w:rFonts w:ascii="仿宋_GB2312" w:hAnsi="Calibri" w:eastAsia="仿宋_GB2312"/>
          <w:sz w:val="28"/>
          <w:szCs w:val="28"/>
        </w:rPr>
      </w:pPr>
      <w:r>
        <w:rPr>
          <w:rFonts w:ascii="仿宋_GB2312" w:hAnsi="Calibri" w:eastAsia="仿宋_GB2312"/>
          <w:sz w:val="28"/>
          <w:szCs w:val="28"/>
        </w:rPr>
        <w:tab/>
      </w:r>
      <w:r>
        <w:rPr>
          <w:rFonts w:hint="eastAsia" w:ascii="仿宋_GB2312" w:hAnsi="Calibri" w:eastAsia="仿宋_GB2312"/>
          <w:sz w:val="28"/>
          <w:szCs w:val="28"/>
        </w:rPr>
        <w:t>年   月    日</w:t>
      </w:r>
    </w:p>
    <w:p>
      <w:pPr>
        <w:spacing w:line="440" w:lineRule="exact"/>
        <w:rPr>
          <w:rFonts w:ascii="仿宋_GB2312" w:hAnsi="Calibri" w:eastAsia="仿宋_GB2312"/>
          <w:sz w:val="28"/>
          <w:szCs w:val="28"/>
        </w:rPr>
      </w:pPr>
      <w:r>
        <w:rPr>
          <w:rFonts w:ascii="仿宋_GB2312" w:hAnsi="宋体" w:eastAsia="仿宋_GB2312"/>
          <w:sz w:val="30"/>
          <w:szCs w:val="30"/>
        </w:rPr>
        <w:br w:type="page"/>
      </w:r>
      <w:r>
        <w:rPr>
          <w:rFonts w:hint="eastAsia" w:ascii="楷体_GB2312" w:eastAsia="楷体_GB2312"/>
          <w:sz w:val="28"/>
          <w:szCs w:val="28"/>
        </w:rPr>
        <w:t>附表2</w:t>
      </w:r>
    </w:p>
    <w:p>
      <w:pPr>
        <w:spacing w:line="440" w:lineRule="exact"/>
        <w:rPr>
          <w:rFonts w:ascii="仿宋_GB2312" w:eastAsia="仿宋_GB2312"/>
          <w:sz w:val="28"/>
          <w:szCs w:val="28"/>
        </w:rPr>
      </w:pPr>
      <w:r>
        <w:rPr>
          <w:rFonts w:hint="eastAsia" w:ascii="仿宋_GB2312" w:eastAsia="仿宋_GB2312"/>
          <w:sz w:val="28"/>
          <w:szCs w:val="28"/>
        </w:rPr>
        <w:t xml:space="preserve">                    </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作品名单及联系人信息表</w:t>
      </w:r>
    </w:p>
    <w:p>
      <w:pPr>
        <w:spacing w:line="440" w:lineRule="exact"/>
        <w:jc w:val="center"/>
        <w:rPr>
          <w:rFonts w:ascii="仿宋_GB2312" w:hAnsi="宋体" w:eastAsia="仿宋_GB2312"/>
          <w:b/>
          <w:szCs w:val="21"/>
        </w:rPr>
      </w:pPr>
      <w:r>
        <w:rPr>
          <w:rFonts w:hint="eastAsia" w:ascii="仿宋_GB2312" w:hAnsi="宋体" w:eastAsia="仿宋_GB2312"/>
          <w:b/>
          <w:szCs w:val="21"/>
        </w:rPr>
        <w:t>（仅省级或中职、高等学校组织单位填写，个人报送无须填写此表）</w:t>
      </w:r>
    </w:p>
    <w:p>
      <w:pPr>
        <w:spacing w:line="440" w:lineRule="exact"/>
        <w:rPr>
          <w:rFonts w:ascii="仿宋_GB2312" w:hAnsi="宋体" w:eastAsia="仿宋_GB2312"/>
          <w:b/>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r>
        <w:rPr>
          <w:rFonts w:hint="eastAsia" w:ascii="仿宋_GB2312" w:hAnsi="宋体" w:eastAsia="仿宋_GB2312"/>
          <w:b/>
          <w:sz w:val="28"/>
          <w:szCs w:val="28"/>
          <w:u w:val="single"/>
        </w:rPr>
        <w:t xml:space="preserve">              </w:t>
      </w:r>
    </w:p>
    <w:tbl>
      <w:tblPr>
        <w:tblStyle w:val="30"/>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19"/>
        <w:gridCol w:w="3045"/>
        <w:gridCol w:w="8"/>
        <w:gridCol w:w="1623"/>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8" w:type="dxa"/>
            <w:vAlign w:val="center"/>
          </w:tcPr>
          <w:p>
            <w:pPr>
              <w:jc w:val="center"/>
              <w:rPr>
                <w:rFonts w:ascii="仿宋_GB2312" w:eastAsia="仿宋_GB2312"/>
                <w:sz w:val="24"/>
              </w:rPr>
            </w:pPr>
            <w:r>
              <w:rPr>
                <w:rFonts w:hint="eastAsia" w:ascii="仿宋_GB2312" w:eastAsia="仿宋_GB2312"/>
                <w:sz w:val="24"/>
              </w:rPr>
              <w:t>序</w:t>
            </w:r>
          </w:p>
          <w:p>
            <w:pPr>
              <w:jc w:val="center"/>
              <w:rPr>
                <w:rFonts w:ascii="仿宋_GB2312" w:eastAsia="仿宋_GB2312"/>
                <w:sz w:val="24"/>
              </w:rPr>
            </w:pPr>
            <w:r>
              <w:rPr>
                <w:rFonts w:hint="eastAsia" w:ascii="仿宋_GB2312" w:eastAsia="仿宋_GB2312"/>
                <w:sz w:val="24"/>
              </w:rPr>
              <w:t>号</w:t>
            </w:r>
          </w:p>
        </w:tc>
        <w:tc>
          <w:tcPr>
            <w:tcW w:w="1219" w:type="dxa"/>
            <w:vAlign w:val="center"/>
          </w:tcPr>
          <w:p>
            <w:pPr>
              <w:jc w:val="center"/>
              <w:rPr>
                <w:rFonts w:ascii="仿宋_GB2312" w:eastAsia="仿宋_GB2312"/>
                <w:sz w:val="24"/>
              </w:rPr>
            </w:pPr>
            <w:r>
              <w:rPr>
                <w:rFonts w:hint="eastAsia" w:ascii="仿宋_GB2312" w:eastAsia="仿宋_GB2312"/>
                <w:sz w:val="24"/>
              </w:rPr>
              <w:t>作品编号</w:t>
            </w:r>
          </w:p>
        </w:tc>
        <w:tc>
          <w:tcPr>
            <w:tcW w:w="3045" w:type="dxa"/>
            <w:vAlign w:val="center"/>
          </w:tcPr>
          <w:p>
            <w:pPr>
              <w:jc w:val="center"/>
              <w:rPr>
                <w:rFonts w:ascii="仿宋_GB2312" w:eastAsia="仿宋_GB2312"/>
                <w:sz w:val="24"/>
              </w:rPr>
            </w:pPr>
            <w:r>
              <w:rPr>
                <w:rFonts w:hint="eastAsia" w:ascii="仿宋_GB2312" w:eastAsia="仿宋_GB2312"/>
                <w:sz w:val="24"/>
              </w:rPr>
              <w:t>作品名称</w:t>
            </w:r>
          </w:p>
        </w:tc>
        <w:tc>
          <w:tcPr>
            <w:tcW w:w="3813" w:type="dxa"/>
            <w:gridSpan w:val="3"/>
            <w:vAlign w:val="center"/>
          </w:tcPr>
          <w:p>
            <w:pPr>
              <w:jc w:val="center"/>
              <w:rPr>
                <w:rFonts w:ascii="仿宋_GB2312" w:eastAsia="仿宋_GB2312"/>
                <w:sz w:val="24"/>
              </w:rPr>
            </w:pPr>
            <w:r>
              <w:rPr>
                <w:rFonts w:hint="eastAsia" w:ascii="仿宋_GB2312" w:eastAsia="仿宋_GB2312"/>
                <w:sz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Align w:val="center"/>
          </w:tcPr>
          <w:p>
            <w:pPr>
              <w:jc w:val="center"/>
              <w:rPr>
                <w:rFonts w:ascii="仿宋_GB2312" w:eastAsia="仿宋_GB2312"/>
                <w:sz w:val="24"/>
              </w:rPr>
            </w:pPr>
            <w:r>
              <w:rPr>
                <w:rFonts w:hint="eastAsia" w:ascii="仿宋_GB2312" w:eastAsia="仿宋_GB2312"/>
                <w:sz w:val="24"/>
              </w:rPr>
              <w:t>1</w:t>
            </w:r>
          </w:p>
        </w:tc>
        <w:tc>
          <w:tcPr>
            <w:tcW w:w="1219" w:type="dxa"/>
          </w:tcPr>
          <w:p>
            <w:pPr>
              <w:spacing w:line="440" w:lineRule="exact"/>
              <w:jc w:val="center"/>
              <w:rPr>
                <w:rFonts w:ascii="仿宋_GB2312" w:hAnsi="宋体" w:eastAsia="仿宋_GB2312"/>
                <w:b/>
                <w:sz w:val="24"/>
              </w:rPr>
            </w:pPr>
          </w:p>
        </w:tc>
        <w:tc>
          <w:tcPr>
            <w:tcW w:w="3045" w:type="dxa"/>
            <w:vAlign w:val="center"/>
          </w:tcPr>
          <w:p>
            <w:pPr>
              <w:spacing w:line="440" w:lineRule="exact"/>
              <w:jc w:val="center"/>
              <w:rPr>
                <w:rFonts w:ascii="仿宋_GB2312" w:hAnsi="宋体" w:eastAsia="仿宋_GB2312"/>
                <w:b/>
                <w:sz w:val="24"/>
              </w:rPr>
            </w:pPr>
          </w:p>
        </w:tc>
        <w:tc>
          <w:tcPr>
            <w:tcW w:w="3813" w:type="dxa"/>
            <w:gridSpan w:val="3"/>
          </w:tcPr>
          <w:p>
            <w:pPr>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Align w:val="center"/>
          </w:tcPr>
          <w:p>
            <w:pPr>
              <w:jc w:val="center"/>
              <w:rPr>
                <w:rFonts w:ascii="仿宋_GB2312" w:eastAsia="仿宋_GB2312"/>
                <w:sz w:val="24"/>
              </w:rPr>
            </w:pPr>
            <w:r>
              <w:rPr>
                <w:rFonts w:hint="eastAsia" w:ascii="仿宋_GB2312" w:eastAsia="仿宋_GB2312"/>
                <w:sz w:val="24"/>
              </w:rPr>
              <w:t>2</w:t>
            </w:r>
          </w:p>
        </w:tc>
        <w:tc>
          <w:tcPr>
            <w:tcW w:w="1219" w:type="dxa"/>
          </w:tcPr>
          <w:p>
            <w:pPr>
              <w:spacing w:line="440" w:lineRule="exact"/>
              <w:jc w:val="center"/>
              <w:rPr>
                <w:rFonts w:ascii="仿宋_GB2312" w:hAnsi="宋体" w:eastAsia="仿宋_GB2312"/>
                <w:b/>
                <w:sz w:val="24"/>
              </w:rPr>
            </w:pPr>
          </w:p>
        </w:tc>
        <w:tc>
          <w:tcPr>
            <w:tcW w:w="3045" w:type="dxa"/>
            <w:vAlign w:val="center"/>
          </w:tcPr>
          <w:p>
            <w:pPr>
              <w:spacing w:line="440" w:lineRule="exact"/>
              <w:jc w:val="center"/>
              <w:rPr>
                <w:rFonts w:ascii="仿宋_GB2312" w:hAnsi="宋体" w:eastAsia="仿宋_GB2312"/>
                <w:b/>
                <w:sz w:val="24"/>
              </w:rPr>
            </w:pPr>
          </w:p>
        </w:tc>
        <w:tc>
          <w:tcPr>
            <w:tcW w:w="3813" w:type="dxa"/>
            <w:gridSpan w:val="3"/>
          </w:tcPr>
          <w:p>
            <w:pPr>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Align w:val="center"/>
          </w:tcPr>
          <w:p>
            <w:pPr>
              <w:spacing w:line="440" w:lineRule="exact"/>
              <w:jc w:val="center"/>
              <w:rPr>
                <w:rFonts w:ascii="仿宋_GB2312" w:hAnsi="宋体" w:eastAsia="仿宋_GB2312"/>
                <w:sz w:val="24"/>
              </w:rPr>
            </w:pPr>
            <w:r>
              <w:rPr>
                <w:rFonts w:ascii="仿宋_GB2312" w:hAnsi="宋体" w:eastAsia="仿宋_GB2312"/>
                <w:sz w:val="24"/>
              </w:rPr>
              <w:t>…</w:t>
            </w:r>
          </w:p>
        </w:tc>
        <w:tc>
          <w:tcPr>
            <w:tcW w:w="1219" w:type="dxa"/>
          </w:tcPr>
          <w:p>
            <w:pPr>
              <w:spacing w:line="440" w:lineRule="exact"/>
              <w:jc w:val="center"/>
              <w:rPr>
                <w:rFonts w:ascii="仿宋_GB2312" w:hAnsi="宋体" w:eastAsia="仿宋_GB2312"/>
                <w:b/>
                <w:sz w:val="24"/>
              </w:rPr>
            </w:pPr>
          </w:p>
        </w:tc>
        <w:tc>
          <w:tcPr>
            <w:tcW w:w="3045" w:type="dxa"/>
            <w:vAlign w:val="center"/>
          </w:tcPr>
          <w:p>
            <w:pPr>
              <w:spacing w:line="440" w:lineRule="exact"/>
              <w:jc w:val="center"/>
              <w:rPr>
                <w:rFonts w:ascii="仿宋_GB2312" w:hAnsi="宋体" w:eastAsia="仿宋_GB2312"/>
                <w:b/>
                <w:sz w:val="24"/>
              </w:rPr>
            </w:pPr>
          </w:p>
        </w:tc>
        <w:tc>
          <w:tcPr>
            <w:tcW w:w="3813" w:type="dxa"/>
            <w:gridSpan w:val="3"/>
          </w:tcPr>
          <w:p>
            <w:pPr>
              <w:spacing w:line="440" w:lineRule="exact"/>
              <w:jc w:val="center"/>
              <w:rPr>
                <w:rFonts w:ascii="仿宋_GB2312" w:hAnsi="宋体" w:eastAsia="仿宋_GB2312"/>
                <w:b/>
                <w:sz w:val="24"/>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联系人姓名</w:t>
            </w:r>
          </w:p>
        </w:tc>
        <w:tc>
          <w:tcPr>
            <w:tcW w:w="3053" w:type="dxa"/>
            <w:gridSpan w:val="2"/>
            <w:vAlign w:val="center"/>
          </w:tcPr>
          <w:p>
            <w:pPr>
              <w:spacing w:line="440" w:lineRule="exact"/>
              <w:rPr>
                <w:rFonts w:ascii="仿宋_GB2312" w:hAnsi="宋体" w:eastAsia="仿宋_GB2312"/>
                <w:bCs/>
                <w:sz w:val="24"/>
              </w:rPr>
            </w:pPr>
          </w:p>
        </w:tc>
        <w:tc>
          <w:tcPr>
            <w:tcW w:w="1623" w:type="dxa"/>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部门、职务</w:t>
            </w:r>
          </w:p>
        </w:tc>
        <w:tc>
          <w:tcPr>
            <w:tcW w:w="2182" w:type="dxa"/>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通信地址</w:t>
            </w:r>
          </w:p>
        </w:tc>
        <w:tc>
          <w:tcPr>
            <w:tcW w:w="3053" w:type="dxa"/>
            <w:gridSpan w:val="2"/>
            <w:vAlign w:val="center"/>
          </w:tcPr>
          <w:p>
            <w:pPr>
              <w:spacing w:line="440" w:lineRule="exact"/>
              <w:rPr>
                <w:rFonts w:ascii="仿宋_GB2312" w:hAnsi="宋体" w:eastAsia="仿宋_GB2312"/>
                <w:bCs/>
                <w:sz w:val="24"/>
              </w:rPr>
            </w:pPr>
          </w:p>
        </w:tc>
        <w:tc>
          <w:tcPr>
            <w:tcW w:w="1623" w:type="dxa"/>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邮政编码</w:t>
            </w:r>
          </w:p>
        </w:tc>
        <w:tc>
          <w:tcPr>
            <w:tcW w:w="2182" w:type="dxa"/>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联系电话</w:t>
            </w:r>
          </w:p>
        </w:tc>
        <w:tc>
          <w:tcPr>
            <w:tcW w:w="3053" w:type="dxa"/>
            <w:gridSpan w:val="2"/>
            <w:vAlign w:val="center"/>
          </w:tcPr>
          <w:p>
            <w:pPr>
              <w:spacing w:line="440" w:lineRule="exact"/>
              <w:rPr>
                <w:rFonts w:ascii="仿宋_GB2312" w:hAnsi="宋体" w:eastAsia="仿宋_GB2312"/>
                <w:bCs/>
                <w:sz w:val="24"/>
              </w:rPr>
            </w:pPr>
          </w:p>
        </w:tc>
        <w:tc>
          <w:tcPr>
            <w:tcW w:w="1623" w:type="dxa"/>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手机</w:t>
            </w:r>
          </w:p>
        </w:tc>
        <w:tc>
          <w:tcPr>
            <w:tcW w:w="2182" w:type="dxa"/>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电子邮箱</w:t>
            </w:r>
          </w:p>
        </w:tc>
        <w:tc>
          <w:tcPr>
            <w:tcW w:w="3053" w:type="dxa"/>
            <w:gridSpan w:val="2"/>
            <w:vAlign w:val="center"/>
          </w:tcPr>
          <w:p>
            <w:pPr>
              <w:spacing w:line="440" w:lineRule="exact"/>
              <w:rPr>
                <w:rFonts w:ascii="仿宋_GB2312" w:hAnsi="宋体" w:eastAsia="仿宋_GB2312"/>
                <w:bCs/>
                <w:sz w:val="24"/>
              </w:rPr>
            </w:pPr>
            <w:r>
              <w:rPr>
                <w:rFonts w:hint="eastAsia" w:ascii="仿宋_GB2312" w:hAnsi="宋体" w:eastAsia="仿宋_GB2312"/>
                <w:bCs/>
                <w:sz w:val="24"/>
              </w:rPr>
              <w:t xml:space="preserve">       </w:t>
            </w:r>
            <w:r>
              <w:rPr>
                <w:rFonts w:hint="eastAsia" w:ascii="仿宋_GB2312" w:eastAsia="仿宋_GB2312"/>
                <w:sz w:val="24"/>
              </w:rPr>
              <w:t>@</w:t>
            </w:r>
          </w:p>
        </w:tc>
        <w:tc>
          <w:tcPr>
            <w:tcW w:w="1623" w:type="dxa"/>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QQ</w:t>
            </w:r>
          </w:p>
        </w:tc>
        <w:tc>
          <w:tcPr>
            <w:tcW w:w="2182" w:type="dxa"/>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缴费金额、</w:t>
            </w:r>
          </w:p>
          <w:p>
            <w:pPr>
              <w:spacing w:line="440" w:lineRule="exact"/>
              <w:jc w:val="center"/>
              <w:rPr>
                <w:rFonts w:ascii="仿宋_GB2312" w:hAnsi="宋体" w:eastAsia="仿宋_GB2312"/>
                <w:bCs/>
                <w:sz w:val="24"/>
              </w:rPr>
            </w:pPr>
            <w:r>
              <w:rPr>
                <w:rFonts w:hint="eastAsia" w:ascii="仿宋_GB2312" w:hAnsi="宋体" w:eastAsia="仿宋_GB2312"/>
                <w:bCs/>
                <w:sz w:val="24"/>
              </w:rPr>
              <w:t>方式、时间</w:t>
            </w:r>
          </w:p>
        </w:tc>
        <w:tc>
          <w:tcPr>
            <w:tcW w:w="6858" w:type="dxa"/>
            <w:gridSpan w:val="4"/>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837" w:type="dxa"/>
            <w:gridSpan w:val="2"/>
            <w:vAlign w:val="center"/>
          </w:tcPr>
          <w:p>
            <w:pPr>
              <w:spacing w:line="440" w:lineRule="exact"/>
              <w:jc w:val="center"/>
              <w:rPr>
                <w:rFonts w:ascii="仿宋_GB2312" w:hAnsi="宋体" w:eastAsia="仿宋_GB2312"/>
                <w:bCs/>
                <w:sz w:val="24"/>
              </w:rPr>
            </w:pPr>
            <w:r>
              <w:rPr>
                <w:rFonts w:hint="eastAsia" w:ascii="仿宋_GB2312" w:hAnsi="宋体" w:eastAsia="仿宋_GB2312"/>
                <w:bCs/>
                <w:sz w:val="24"/>
              </w:rPr>
              <w:t>发票开具说明</w:t>
            </w:r>
          </w:p>
        </w:tc>
        <w:tc>
          <w:tcPr>
            <w:tcW w:w="6858" w:type="dxa"/>
            <w:gridSpan w:val="4"/>
            <w:vAlign w:val="center"/>
          </w:tcPr>
          <w:p>
            <w:pPr>
              <w:spacing w:line="440" w:lineRule="exact"/>
              <w:rPr>
                <w:rFonts w:ascii="仿宋_GB2312" w:hAnsi="宋体" w:eastAsia="仿宋_GB2312"/>
                <w:bCs/>
                <w:sz w:val="24"/>
              </w:rPr>
            </w:pPr>
          </w:p>
        </w:tc>
      </w:tr>
    </w:tbl>
    <w:p>
      <w:pPr>
        <w:spacing w:line="440" w:lineRule="exact"/>
        <w:ind w:firstLine="3620" w:firstLineChars="1293"/>
        <w:rPr>
          <w:rFonts w:ascii="仿宋_GB2312" w:hAnsi="宋体" w:eastAsia="仿宋_GB2312"/>
          <w:sz w:val="28"/>
        </w:rPr>
      </w:pPr>
    </w:p>
    <w:p>
      <w:pPr>
        <w:spacing w:line="440" w:lineRule="exact"/>
        <w:ind w:firstLine="3620" w:firstLineChars="1293"/>
        <w:rPr>
          <w:rFonts w:ascii="仿宋_GB2312" w:hAnsi="宋体" w:eastAsia="仿宋_GB2312"/>
          <w:sz w:val="28"/>
        </w:rPr>
      </w:pPr>
    </w:p>
    <w:p>
      <w:pPr>
        <w:spacing w:line="440" w:lineRule="exact"/>
        <w:ind w:firstLine="5017" w:firstLineChars="1792"/>
        <w:rPr>
          <w:rFonts w:ascii="仿宋_GB2312" w:hAnsi="宋体" w:eastAsia="仿宋_GB2312"/>
          <w:sz w:val="28"/>
        </w:rPr>
      </w:pPr>
    </w:p>
    <w:p>
      <w:pPr>
        <w:spacing w:line="440" w:lineRule="exact"/>
        <w:ind w:firstLine="5017" w:firstLineChars="1792"/>
        <w:rPr>
          <w:rFonts w:ascii="仿宋_GB2312" w:hAnsi="宋体" w:eastAsia="仿宋_GB2312"/>
          <w:sz w:val="28"/>
        </w:rPr>
      </w:pPr>
    </w:p>
    <w:p>
      <w:pPr>
        <w:spacing w:line="440" w:lineRule="exact"/>
        <w:ind w:firstLine="5432" w:firstLineChars="1940"/>
        <w:rPr>
          <w:rFonts w:ascii="仿宋_GB2312" w:hAnsi="宋体" w:eastAsia="仿宋_GB2312"/>
          <w:bCs/>
          <w:sz w:val="28"/>
        </w:rPr>
      </w:pPr>
      <w:r>
        <w:rPr>
          <w:rFonts w:hint="eastAsia" w:ascii="仿宋_GB2312" w:hAnsi="宋体" w:eastAsia="仿宋_GB2312"/>
          <w:bCs/>
          <w:sz w:val="28"/>
        </w:rPr>
        <w:t>年   月   日</w:t>
      </w: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r>
        <w:rPr>
          <w:rFonts w:hint="eastAsia" w:ascii="仿宋_GB2312" w:eastAsia="仿宋_GB2312"/>
          <w:b/>
          <w:sz w:val="24"/>
        </w:rPr>
        <w:t>填写说明：</w:t>
      </w:r>
    </w:p>
    <w:p>
      <w:pPr>
        <w:spacing w:line="440" w:lineRule="exact"/>
        <w:ind w:firstLine="470" w:firstLineChars="196"/>
        <w:rPr>
          <w:rFonts w:ascii="仿宋_GB2312" w:eastAsia="仿宋_GB2312"/>
          <w:sz w:val="24"/>
        </w:rPr>
      </w:pPr>
      <w:r>
        <w:rPr>
          <w:rFonts w:hint="eastAsia" w:ascii="仿宋_GB2312" w:eastAsia="仿宋_GB2312"/>
          <w:sz w:val="24"/>
        </w:rPr>
        <w:t>请省级或中职、高等学校组织单位在网上报名后将此表发送至：xmb@moe.edu.cn。</w:t>
      </w:r>
      <w:bookmarkStart w:id="12" w:name="_Toc101167305"/>
      <w:bookmarkEnd w:id="12"/>
    </w:p>
    <w:sectPr>
      <w:footerReference r:id="rId3" w:type="default"/>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w:t>
    </w:r>
    <w:r>
      <w:t xml:space="preserve"> 5 -</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B68"/>
    <w:rsid w:val="002B0C69"/>
    <w:rsid w:val="002B10DE"/>
    <w:rsid w:val="002B1924"/>
    <w:rsid w:val="002B1BE7"/>
    <w:rsid w:val="002B3204"/>
    <w:rsid w:val="002B37ED"/>
    <w:rsid w:val="002B3B5D"/>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ABE"/>
    <w:rsid w:val="003F7301"/>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514A"/>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1649"/>
    <w:rsid w:val="004C30B3"/>
    <w:rsid w:val="004C43FE"/>
    <w:rsid w:val="004C7D43"/>
    <w:rsid w:val="004D163A"/>
    <w:rsid w:val="004D17B1"/>
    <w:rsid w:val="004D2A8B"/>
    <w:rsid w:val="004D4365"/>
    <w:rsid w:val="004D5149"/>
    <w:rsid w:val="004D51B5"/>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5D52"/>
    <w:rsid w:val="00597110"/>
    <w:rsid w:val="005A00DA"/>
    <w:rsid w:val="005A132D"/>
    <w:rsid w:val="005A158A"/>
    <w:rsid w:val="005A247C"/>
    <w:rsid w:val="005A2E9A"/>
    <w:rsid w:val="005A3044"/>
    <w:rsid w:val="005A3319"/>
    <w:rsid w:val="005A4A16"/>
    <w:rsid w:val="005A508E"/>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10F9"/>
    <w:rsid w:val="007511E4"/>
    <w:rsid w:val="0075275C"/>
    <w:rsid w:val="00752961"/>
    <w:rsid w:val="00752A5F"/>
    <w:rsid w:val="00753504"/>
    <w:rsid w:val="00755871"/>
    <w:rsid w:val="007565B1"/>
    <w:rsid w:val="0075725B"/>
    <w:rsid w:val="00763661"/>
    <w:rsid w:val="007638DF"/>
    <w:rsid w:val="00764014"/>
    <w:rsid w:val="00764AE2"/>
    <w:rsid w:val="007655E0"/>
    <w:rsid w:val="007657AE"/>
    <w:rsid w:val="00765F22"/>
    <w:rsid w:val="00766106"/>
    <w:rsid w:val="00770189"/>
    <w:rsid w:val="007715C0"/>
    <w:rsid w:val="00771C5D"/>
    <w:rsid w:val="007728AE"/>
    <w:rsid w:val="007737C2"/>
    <w:rsid w:val="0077485F"/>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D79EA"/>
    <w:rsid w:val="007E07A6"/>
    <w:rsid w:val="007E14E8"/>
    <w:rsid w:val="007E3A86"/>
    <w:rsid w:val="007E5B56"/>
    <w:rsid w:val="007F1DC1"/>
    <w:rsid w:val="007F3396"/>
    <w:rsid w:val="007F4FB6"/>
    <w:rsid w:val="007F6839"/>
    <w:rsid w:val="007F6F07"/>
    <w:rsid w:val="008009C2"/>
    <w:rsid w:val="00800FA9"/>
    <w:rsid w:val="00801106"/>
    <w:rsid w:val="00801473"/>
    <w:rsid w:val="00802B36"/>
    <w:rsid w:val="00803D18"/>
    <w:rsid w:val="00805748"/>
    <w:rsid w:val="00807233"/>
    <w:rsid w:val="008074AA"/>
    <w:rsid w:val="00810A33"/>
    <w:rsid w:val="00810F26"/>
    <w:rsid w:val="00812173"/>
    <w:rsid w:val="00812386"/>
    <w:rsid w:val="008129DF"/>
    <w:rsid w:val="008136D1"/>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A0A4A"/>
    <w:rsid w:val="008A23B3"/>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410F3"/>
    <w:rsid w:val="00943711"/>
    <w:rsid w:val="00943E61"/>
    <w:rsid w:val="009449C3"/>
    <w:rsid w:val="00944D69"/>
    <w:rsid w:val="009469DB"/>
    <w:rsid w:val="00946AB3"/>
    <w:rsid w:val="009509D8"/>
    <w:rsid w:val="00951D40"/>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4365"/>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FBB"/>
    <w:rsid w:val="009C2617"/>
    <w:rsid w:val="009C45F8"/>
    <w:rsid w:val="009C4752"/>
    <w:rsid w:val="009C5AF9"/>
    <w:rsid w:val="009C5EF7"/>
    <w:rsid w:val="009C6817"/>
    <w:rsid w:val="009D068D"/>
    <w:rsid w:val="009D0FDF"/>
    <w:rsid w:val="009D140B"/>
    <w:rsid w:val="009D22D6"/>
    <w:rsid w:val="009D33F2"/>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60044"/>
    <w:rsid w:val="00B61DD9"/>
    <w:rsid w:val="00B6215F"/>
    <w:rsid w:val="00B62B7E"/>
    <w:rsid w:val="00B633E4"/>
    <w:rsid w:val="00B639E3"/>
    <w:rsid w:val="00B64D39"/>
    <w:rsid w:val="00B66C22"/>
    <w:rsid w:val="00B70D47"/>
    <w:rsid w:val="00B7280F"/>
    <w:rsid w:val="00B72ABA"/>
    <w:rsid w:val="00B73C1D"/>
    <w:rsid w:val="00B73C6E"/>
    <w:rsid w:val="00B75302"/>
    <w:rsid w:val="00B75828"/>
    <w:rsid w:val="00B7724C"/>
    <w:rsid w:val="00B810E7"/>
    <w:rsid w:val="00B81544"/>
    <w:rsid w:val="00B8158E"/>
    <w:rsid w:val="00B827FF"/>
    <w:rsid w:val="00B840F9"/>
    <w:rsid w:val="00B841C9"/>
    <w:rsid w:val="00B86CDE"/>
    <w:rsid w:val="00B90254"/>
    <w:rsid w:val="00B905D3"/>
    <w:rsid w:val="00B90B00"/>
    <w:rsid w:val="00B91562"/>
    <w:rsid w:val="00B915BC"/>
    <w:rsid w:val="00B92701"/>
    <w:rsid w:val="00B939DB"/>
    <w:rsid w:val="00B95073"/>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768E"/>
    <w:rsid w:val="00C00F80"/>
    <w:rsid w:val="00C01A18"/>
    <w:rsid w:val="00C03812"/>
    <w:rsid w:val="00C06C04"/>
    <w:rsid w:val="00C06D43"/>
    <w:rsid w:val="00C07D11"/>
    <w:rsid w:val="00C10D00"/>
    <w:rsid w:val="00C121CF"/>
    <w:rsid w:val="00C123FE"/>
    <w:rsid w:val="00C128F1"/>
    <w:rsid w:val="00C129D3"/>
    <w:rsid w:val="00C12A6F"/>
    <w:rsid w:val="00C13196"/>
    <w:rsid w:val="00C1402B"/>
    <w:rsid w:val="00C14AAB"/>
    <w:rsid w:val="00C14B0E"/>
    <w:rsid w:val="00C173BF"/>
    <w:rsid w:val="00C17FB1"/>
    <w:rsid w:val="00C2116F"/>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648D"/>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E48"/>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29F9"/>
    <w:rsid w:val="00FB31C9"/>
    <w:rsid w:val="00FB3512"/>
    <w:rsid w:val="00FB53A8"/>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 w:val="53CA073C"/>
    <w:rsid w:val="7ECA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5">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semiHidden/>
    <w:qFormat/>
    <w:uiPriority w:val="0"/>
    <w:pPr>
      <w:jc w:val="left"/>
    </w:pPr>
  </w:style>
  <w:style w:type="paragraph" w:styleId="13">
    <w:name w:val="Body Text First Indent"/>
    <w:basedOn w:val="14"/>
    <w:qFormat/>
    <w:uiPriority w:val="0"/>
    <w:pPr>
      <w:spacing w:after="120" w:line="240" w:lineRule="auto"/>
      <w:ind w:firstLine="420" w:firstLineChars="100"/>
    </w:pPr>
    <w:rPr>
      <w:rFonts w:ascii="Times New Roman" w:hAnsi="Times New Roman"/>
      <w:sz w:val="21"/>
    </w:rPr>
  </w:style>
  <w:style w:type="paragraph" w:styleId="14">
    <w:name w:val="Body Text"/>
    <w:basedOn w:val="1"/>
    <w:qFormat/>
    <w:uiPriority w:val="0"/>
    <w:pPr>
      <w:spacing w:line="500" w:lineRule="exact"/>
    </w:pPr>
    <w:rPr>
      <w:rFonts w:ascii="宋体" w:hAnsi="宋体"/>
      <w:sz w:val="28"/>
    </w:rPr>
  </w:style>
  <w:style w:type="paragraph" w:styleId="15">
    <w:name w:val="Body Text Indent"/>
    <w:basedOn w:val="1"/>
    <w:qFormat/>
    <w:uiPriority w:val="0"/>
    <w:pPr>
      <w:spacing w:after="120"/>
      <w:ind w:left="420" w:leftChars="200"/>
    </w:p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cs="Courier New"/>
      <w:szCs w:val="21"/>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2"/>
    <w:basedOn w:val="1"/>
    <w:next w:val="1"/>
    <w:semiHidden/>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1">
    <w:name w:val="Char Char Char Char"/>
    <w:qFormat/>
    <w:uiPriority w:val="0"/>
    <w:rPr>
      <w:rFonts w:eastAsia="宋体"/>
      <w:b/>
      <w:bCs/>
      <w:kern w:val="2"/>
      <w:sz w:val="32"/>
      <w:szCs w:val="32"/>
      <w:lang w:val="en-US" w:eastAsia="zh-CN" w:bidi="ar-SA"/>
    </w:rPr>
  </w:style>
  <w:style w:type="character" w:customStyle="1" w:styleId="32">
    <w:name w:val="已访问的超链接1"/>
    <w:qFormat/>
    <w:uiPriority w:val="0"/>
    <w:rPr>
      <w:color w:val="800080"/>
      <w:u w:val="single"/>
    </w:rPr>
  </w:style>
  <w:style w:type="character" w:customStyle="1" w:styleId="33">
    <w:name w:val="14_black1"/>
    <w:qFormat/>
    <w:uiPriority w:val="0"/>
    <w:rPr>
      <w:color w:val="000000"/>
      <w:sz w:val="21"/>
      <w:szCs w:val="21"/>
    </w:rPr>
  </w:style>
  <w:style w:type="paragraph" w:customStyle="1" w:styleId="34">
    <w:name w:val="样式1"/>
    <w:basedOn w:val="5"/>
    <w:qFormat/>
    <w:uiPriority w:val="0"/>
    <w:pPr>
      <w:spacing w:before="40" w:after="50" w:line="300" w:lineRule="auto"/>
    </w:pPr>
    <w:rPr>
      <w:rFonts w:ascii="宋体" w:hAnsi="宋体" w:eastAsia="宋体"/>
      <w:sz w:val="24"/>
      <w:szCs w:val="24"/>
    </w:rPr>
  </w:style>
  <w:style w:type="paragraph" w:customStyle="1" w:styleId="35">
    <w:name w:val="_Style 32"/>
    <w:basedOn w:val="1"/>
    <w:next w:val="17"/>
    <w:qFormat/>
    <w:uiPriority w:val="0"/>
    <w:rPr>
      <w:rFonts w:ascii="宋体" w:hAnsi="Courier New"/>
      <w:szCs w:val="20"/>
      <w:lang w:eastAsia="ko-KR"/>
    </w:rPr>
  </w:style>
  <w:style w:type="paragraph" w:customStyle="1" w:styleId="36">
    <w:name w:val="List Paragraph"/>
    <w:basedOn w:val="1"/>
    <w:qFormat/>
    <w:uiPriority w:val="34"/>
    <w:pPr>
      <w:ind w:firstLine="420" w:firstLineChars="200"/>
    </w:pPr>
    <w:rPr>
      <w:rFonts w:ascii="Calibri" w:hAnsi="Calibri"/>
      <w:szCs w:val="22"/>
    </w:rPr>
  </w:style>
  <w:style w:type="character" w:customStyle="1" w:styleId="37">
    <w:name w:val="页脚 Char"/>
    <w:link w:val="21"/>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872B7-5B15-4238-9977-A5F4CF51CEFB}">
  <ds:schemaRefs/>
</ds:datastoreItem>
</file>

<file path=docProps/app.xml><?xml version="1.0" encoding="utf-8"?>
<Properties xmlns="http://schemas.openxmlformats.org/officeDocument/2006/extended-properties" xmlns:vt="http://schemas.openxmlformats.org/officeDocument/2006/docPropsVTypes">
  <Template>Normal.dotm</Template>
  <Company>net</Company>
  <Pages>16</Pages>
  <Words>1224</Words>
  <Characters>6980</Characters>
  <Lines>58</Lines>
  <Paragraphs>16</Paragraphs>
  <TotalTime>0</TotalTime>
  <ScaleCrop>false</ScaleCrop>
  <LinksUpToDate>false</LinksUpToDate>
  <CharactersWithSpaces>8188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2016-12-01T00:57:00Z</dcterms:created>
  <dc:creator>sf</dc:creator>
  <cp:lastModifiedBy>Administrator</cp:lastModifiedBy>
  <cp:lastPrinted>2016-12-07T02:53:00Z</cp:lastPrinted>
  <dcterms:modified xsi:type="dcterms:W3CDTF">2003-04-18T18:39:11Z</dcterms:modified>
  <dc:title>全国多媒体教育软件大奖赛</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